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75B44">
      <w:pPr>
        <w:pStyle w:val="38"/>
        <w:spacing w:after="0" w:line="560" w:lineRule="exact"/>
        <w:rPr>
          <w:rFonts w:eastAsia="楷体_GB2312"/>
          <w:i/>
          <w:color w:val="FF0000"/>
          <w:lang w:eastAsia="zh-CN"/>
        </w:rPr>
      </w:pPr>
      <w:r>
        <w:rPr>
          <w:rFonts w:eastAsia="楷体_GB2312"/>
          <w:i/>
          <w:color w:val="FF0000"/>
          <w:lang w:eastAsia="zh-CN"/>
        </w:rPr>
        <w:t>【注：本合同版本根据人民银行、金融监管总局资产证券化相关规定以及交易商协会相关自律规则起草，作为</w:t>
      </w:r>
      <w:r>
        <w:rPr>
          <w:rFonts w:eastAsia="楷体_GB2312"/>
          <w:i/>
          <w:color w:val="FF0000"/>
          <w:lang w:val="en-US" w:eastAsia="zh-CN"/>
        </w:rPr>
        <w:t>个人住房抵押贷款</w:t>
      </w:r>
      <w:r>
        <w:rPr>
          <w:rFonts w:eastAsia="楷体_GB2312"/>
          <w:i/>
          <w:color w:val="FF0000"/>
          <w:lang w:eastAsia="zh-CN"/>
        </w:rPr>
        <w:t>资产支持证券的标准范本供市场机构参考</w:t>
      </w:r>
      <w:r>
        <w:rPr>
          <w:rStyle w:val="34"/>
          <w:rFonts w:eastAsia="楷体_GB2312"/>
          <w:i/>
          <w:color w:val="FF0000"/>
        </w:rPr>
        <w:footnoteReference w:id="0"/>
      </w:r>
      <w:r>
        <w:rPr>
          <w:rFonts w:eastAsia="楷体_GB2312"/>
          <w:i/>
          <w:color w:val="FF0000"/>
          <w:lang w:eastAsia="zh-CN"/>
        </w:rPr>
        <w:t>。开展</w:t>
      </w:r>
      <w:r>
        <w:rPr>
          <w:rFonts w:eastAsia="楷体_GB2312"/>
          <w:i/>
          <w:color w:val="FF0000"/>
          <w:lang w:val="en-US" w:eastAsia="zh-CN"/>
        </w:rPr>
        <w:t>个人住房抵押贷款</w:t>
      </w:r>
      <w:r>
        <w:rPr>
          <w:rFonts w:eastAsia="楷体_GB2312"/>
          <w:i/>
          <w:color w:val="FF0000"/>
          <w:lang w:eastAsia="zh-CN"/>
        </w:rPr>
        <w:t>资产支持证券的</w:t>
      </w:r>
      <w:r>
        <w:rPr>
          <w:rFonts w:eastAsia="楷体_GB2312"/>
          <w:i/>
          <w:color w:val="FF0000"/>
          <w:lang w:val="en-US" w:eastAsia="zh-CN"/>
        </w:rPr>
        <w:t>贷款</w:t>
      </w:r>
      <w:r>
        <w:rPr>
          <w:rFonts w:eastAsia="楷体_GB2312"/>
          <w:i/>
          <w:color w:val="FF0000"/>
          <w:lang w:eastAsia="zh-CN"/>
        </w:rPr>
        <w:t>资产应符合相关监管要求及交易商协会相关自律规则。】</w:t>
      </w:r>
    </w:p>
    <w:p w14:paraId="038500E5">
      <w:pPr>
        <w:pStyle w:val="38"/>
        <w:spacing w:after="0" w:line="560" w:lineRule="exact"/>
        <w:jc w:val="right"/>
        <w:rPr>
          <w:rFonts w:eastAsia="楷体_GB2312"/>
          <w:lang w:val="en-US" w:eastAsia="zh-CN"/>
        </w:rPr>
      </w:pPr>
      <w:r>
        <w:rPr>
          <w:rFonts w:eastAsia="楷体_GB2312"/>
          <w:lang w:eastAsia="zh-CN"/>
        </w:rPr>
        <w:t>合同编号：</w:t>
      </w:r>
      <w:r>
        <w:rPr>
          <w:rFonts w:eastAsia="楷体_GB2312"/>
          <w:lang w:val="en-US" w:eastAsia="zh-CN"/>
        </w:rPr>
        <w:t>【</w:t>
      </w:r>
      <w:r>
        <w:rPr>
          <w:rFonts w:eastAsia="楷体_GB2312"/>
          <w:lang w:eastAsia="zh-CN"/>
        </w:rPr>
        <w:t>信托合同</w:t>
      </w:r>
      <w:r>
        <w:rPr>
          <w:rFonts w:eastAsia="楷体_GB2312"/>
          <w:lang w:val="en-US" w:eastAsia="zh-CN"/>
        </w:rPr>
        <w:t>编号】</w:t>
      </w:r>
    </w:p>
    <w:p w14:paraId="208005B8">
      <w:pPr>
        <w:widowControl/>
        <w:tabs>
          <w:tab w:val="right" w:pos="8280"/>
        </w:tabs>
        <w:spacing w:line="560" w:lineRule="exact"/>
        <w:jc w:val="right"/>
        <w:rPr>
          <w:rFonts w:eastAsia="楷体_GB2312"/>
          <w:b/>
          <w:caps/>
          <w:kern w:val="0"/>
          <w:sz w:val="24"/>
        </w:rPr>
      </w:pPr>
      <w:r>
        <w:rPr>
          <w:rFonts w:eastAsia="楷体_GB2312"/>
          <w:b/>
          <w:caps/>
          <w:kern w:val="0"/>
          <w:sz w:val="24"/>
        </w:rPr>
        <w:t>信托产品登记编码：【】</w:t>
      </w:r>
    </w:p>
    <w:p w14:paraId="6A6823FB">
      <w:pPr>
        <w:spacing w:line="560" w:lineRule="exact"/>
        <w:rPr>
          <w:rFonts w:eastAsia="楷体_GB2312"/>
          <w:b/>
          <w:sz w:val="36"/>
          <w:szCs w:val="36"/>
        </w:rPr>
      </w:pPr>
    </w:p>
    <w:p w14:paraId="3839409B">
      <w:pPr>
        <w:spacing w:line="560" w:lineRule="exact"/>
        <w:rPr>
          <w:rFonts w:eastAsia="楷体_GB2312"/>
          <w:b/>
          <w:sz w:val="36"/>
          <w:szCs w:val="36"/>
        </w:rPr>
      </w:pPr>
    </w:p>
    <w:p w14:paraId="07704DC8">
      <w:pPr>
        <w:spacing w:line="560" w:lineRule="exact"/>
        <w:jc w:val="center"/>
        <w:rPr>
          <w:rFonts w:eastAsia="楷体_GB2312"/>
          <w:b/>
          <w:color w:val="000000"/>
          <w:sz w:val="36"/>
          <w:szCs w:val="36"/>
        </w:rPr>
      </w:pPr>
      <w:r>
        <w:rPr>
          <w:rFonts w:eastAsia="楷体_GB2312"/>
          <w:b/>
          <w:color w:val="000000"/>
          <w:sz w:val="36"/>
          <w:szCs w:val="36"/>
        </w:rPr>
        <w:t>【发起机构全称】</w:t>
      </w:r>
    </w:p>
    <w:p w14:paraId="7A64B277">
      <w:pPr>
        <w:tabs>
          <w:tab w:val="left" w:pos="426"/>
          <w:tab w:val="left" w:pos="851"/>
        </w:tabs>
        <w:spacing w:line="560" w:lineRule="exact"/>
        <w:jc w:val="center"/>
        <w:rPr>
          <w:rFonts w:eastAsia="楷体_GB2312"/>
          <w:b/>
          <w:color w:val="000000"/>
          <w:sz w:val="24"/>
        </w:rPr>
      </w:pPr>
      <w:r>
        <w:rPr>
          <w:rFonts w:eastAsia="楷体_GB2312"/>
          <w:b/>
          <w:color w:val="000000"/>
          <w:sz w:val="24"/>
        </w:rPr>
        <w:t>（作为委托人和发起机构）</w:t>
      </w:r>
    </w:p>
    <w:p w14:paraId="041F8402">
      <w:pPr>
        <w:spacing w:line="560" w:lineRule="exact"/>
        <w:jc w:val="center"/>
        <w:rPr>
          <w:rFonts w:eastAsia="楷体_GB2312"/>
          <w:b/>
          <w:color w:val="000000"/>
          <w:sz w:val="28"/>
          <w:szCs w:val="28"/>
        </w:rPr>
      </w:pPr>
    </w:p>
    <w:p w14:paraId="4817EF1B">
      <w:pPr>
        <w:spacing w:line="560" w:lineRule="exact"/>
        <w:jc w:val="center"/>
        <w:rPr>
          <w:rFonts w:eastAsia="楷体_GB2312"/>
          <w:b/>
          <w:color w:val="000000"/>
          <w:sz w:val="36"/>
          <w:szCs w:val="36"/>
        </w:rPr>
      </w:pPr>
      <w:r>
        <w:rPr>
          <w:rFonts w:eastAsia="楷体_GB2312"/>
          <w:b/>
          <w:color w:val="000000"/>
          <w:sz w:val="36"/>
          <w:szCs w:val="36"/>
        </w:rPr>
        <w:t>与</w:t>
      </w:r>
    </w:p>
    <w:p w14:paraId="593CC95B">
      <w:pPr>
        <w:spacing w:line="560" w:lineRule="exact"/>
        <w:jc w:val="center"/>
        <w:rPr>
          <w:rFonts w:eastAsia="楷体_GB2312"/>
          <w:b/>
          <w:color w:val="000000"/>
          <w:sz w:val="28"/>
          <w:szCs w:val="28"/>
        </w:rPr>
      </w:pPr>
    </w:p>
    <w:p w14:paraId="0C058D24">
      <w:pPr>
        <w:spacing w:line="560" w:lineRule="exact"/>
        <w:jc w:val="center"/>
        <w:rPr>
          <w:rFonts w:eastAsia="楷体_GB2312"/>
          <w:b/>
          <w:color w:val="000000"/>
          <w:sz w:val="36"/>
          <w:szCs w:val="36"/>
        </w:rPr>
      </w:pPr>
      <w:r>
        <w:rPr>
          <w:rFonts w:eastAsia="楷体_GB2312"/>
          <w:b/>
          <w:color w:val="000000"/>
          <w:sz w:val="36"/>
          <w:szCs w:val="36"/>
        </w:rPr>
        <w:t>【受托机构全称】</w:t>
      </w:r>
    </w:p>
    <w:p w14:paraId="4C0452D4">
      <w:pPr>
        <w:spacing w:line="560" w:lineRule="exact"/>
        <w:jc w:val="center"/>
        <w:rPr>
          <w:rFonts w:eastAsia="楷体_GB2312"/>
          <w:b/>
          <w:color w:val="000000"/>
          <w:sz w:val="24"/>
        </w:rPr>
      </w:pPr>
      <w:r>
        <w:rPr>
          <w:rFonts w:eastAsia="楷体_GB2312"/>
          <w:b/>
          <w:color w:val="000000"/>
          <w:sz w:val="24"/>
        </w:rPr>
        <w:t>（作为受托人、受托机构和发行人）</w:t>
      </w:r>
    </w:p>
    <w:p w14:paraId="5CEA640F">
      <w:pPr>
        <w:spacing w:line="560" w:lineRule="exact"/>
        <w:jc w:val="center"/>
        <w:rPr>
          <w:rFonts w:eastAsia="楷体_GB2312"/>
          <w:b/>
          <w:color w:val="000000"/>
          <w:sz w:val="24"/>
        </w:rPr>
      </w:pPr>
    </w:p>
    <w:p w14:paraId="270D7382">
      <w:pPr>
        <w:spacing w:line="560" w:lineRule="exact"/>
        <w:jc w:val="center"/>
        <w:rPr>
          <w:rFonts w:eastAsia="楷体_GB2312"/>
          <w:b/>
          <w:color w:val="000000"/>
          <w:sz w:val="24"/>
        </w:rPr>
      </w:pPr>
    </w:p>
    <w:p w14:paraId="4A1516D2">
      <w:pPr>
        <w:spacing w:line="560" w:lineRule="exact"/>
        <w:jc w:val="center"/>
        <w:rPr>
          <w:rFonts w:eastAsia="楷体_GB2312"/>
          <w:b/>
          <w:color w:val="000000"/>
          <w:sz w:val="36"/>
          <w:szCs w:val="36"/>
        </w:rPr>
      </w:pPr>
      <w:r>
        <w:rPr>
          <w:rFonts w:eastAsia="楷体_GB2312"/>
          <w:b/>
          <w:color w:val="000000"/>
          <w:sz w:val="36"/>
          <w:szCs w:val="36"/>
        </w:rPr>
        <w:t>【信托名称】</w:t>
      </w:r>
    </w:p>
    <w:p w14:paraId="261952E7">
      <w:pPr>
        <w:spacing w:line="560" w:lineRule="exact"/>
        <w:jc w:val="center"/>
        <w:rPr>
          <w:rFonts w:eastAsia="楷体_GB2312"/>
          <w:b/>
          <w:color w:val="000000"/>
          <w:sz w:val="36"/>
          <w:szCs w:val="36"/>
        </w:rPr>
      </w:pPr>
      <w:r>
        <w:rPr>
          <w:rFonts w:eastAsia="楷体_GB2312"/>
          <w:b/>
          <w:color w:val="000000"/>
          <w:sz w:val="36"/>
          <w:szCs w:val="36"/>
        </w:rPr>
        <w:t>之</w:t>
      </w:r>
    </w:p>
    <w:p w14:paraId="348E2EE0">
      <w:pPr>
        <w:spacing w:line="560" w:lineRule="exact"/>
        <w:jc w:val="center"/>
        <w:rPr>
          <w:rFonts w:eastAsia="楷体_GB2312"/>
          <w:color w:val="000000"/>
          <w:sz w:val="28"/>
        </w:rPr>
      </w:pPr>
      <w:r>
        <w:rPr>
          <w:rFonts w:eastAsia="楷体_GB2312"/>
          <w:b/>
          <w:color w:val="000000"/>
          <w:sz w:val="36"/>
          <w:szCs w:val="36"/>
        </w:rPr>
        <w:t>信托合同</w:t>
      </w:r>
    </w:p>
    <w:p w14:paraId="4DA921BD">
      <w:pPr>
        <w:spacing w:line="560" w:lineRule="exact"/>
        <w:jc w:val="center"/>
        <w:rPr>
          <w:rFonts w:eastAsia="楷体_GB2312"/>
          <w:b/>
          <w:color w:val="000000"/>
          <w:sz w:val="30"/>
          <w:szCs w:val="30"/>
        </w:rPr>
      </w:pPr>
    </w:p>
    <w:p w14:paraId="6C802BBF">
      <w:pPr>
        <w:spacing w:line="560" w:lineRule="exact"/>
        <w:jc w:val="center"/>
        <w:rPr>
          <w:rFonts w:eastAsia="楷体_GB2312"/>
          <w:b/>
          <w:color w:val="000000"/>
          <w:sz w:val="28"/>
          <w:szCs w:val="28"/>
        </w:rPr>
      </w:pPr>
      <w:r>
        <w:rPr>
          <w:rFonts w:eastAsia="楷体_GB2312"/>
          <w:b/>
          <w:color w:val="000000"/>
          <w:sz w:val="28"/>
          <w:szCs w:val="28"/>
        </w:rPr>
        <w:t>中国</w:t>
      </w:r>
      <w:r>
        <w:rPr>
          <w:rFonts w:eastAsia="楷体_GB2312"/>
          <w:b/>
          <w:color w:val="000000"/>
          <w:sz w:val="28"/>
          <w:szCs w:val="28"/>
        </w:rPr>
        <w:tab/>
      </w:r>
      <w:r>
        <w:rPr>
          <w:rFonts w:eastAsia="楷体_GB2312"/>
          <w:b/>
          <w:bCs/>
          <w:color w:val="000000"/>
          <w:sz w:val="28"/>
          <w:szCs w:val="28"/>
        </w:rPr>
        <w:t>【  】</w:t>
      </w:r>
    </w:p>
    <w:p w14:paraId="0C1B214C">
      <w:pPr>
        <w:spacing w:line="560" w:lineRule="exact"/>
        <w:jc w:val="center"/>
        <w:rPr>
          <w:rFonts w:eastAsia="楷体_GB2312"/>
          <w:color w:val="000000"/>
          <w:sz w:val="28"/>
          <w:szCs w:val="28"/>
        </w:rPr>
      </w:pPr>
      <w:r>
        <w:rPr>
          <w:rFonts w:eastAsia="楷体_GB2312"/>
          <w:b/>
          <w:bCs/>
          <w:color w:val="000000"/>
          <w:sz w:val="28"/>
          <w:szCs w:val="28"/>
        </w:rPr>
        <w:t>【  】年【  】</w:t>
      </w:r>
      <w:r>
        <w:rPr>
          <w:rFonts w:eastAsia="楷体_GB2312"/>
          <w:b/>
          <w:color w:val="000000"/>
          <w:sz w:val="28"/>
          <w:szCs w:val="28"/>
        </w:rPr>
        <w:t>月</w:t>
      </w:r>
    </w:p>
    <w:p w14:paraId="07D90B19">
      <w:pPr>
        <w:pStyle w:val="47"/>
        <w:spacing w:before="0" w:line="560" w:lineRule="exact"/>
        <w:rPr>
          <w:rFonts w:eastAsia="楷体_GB2312"/>
        </w:rPr>
        <w:sectPr>
          <w:footerReference r:id="rId6" w:type="firs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2C8B712F">
      <w:pPr>
        <w:pStyle w:val="17"/>
        <w:spacing w:after="78"/>
        <w:ind w:right="0" w:rightChars="0"/>
        <w:jc w:val="center"/>
        <w:rPr>
          <w:rFonts w:ascii="Times New Roman" w:eastAsia="楷体_GB2312"/>
          <w:b/>
          <w:sz w:val="24"/>
          <w:szCs w:val="24"/>
        </w:rPr>
      </w:pPr>
      <w:r>
        <w:rPr>
          <w:rFonts w:ascii="Times New Roman" w:eastAsia="楷体_GB2312"/>
          <w:b/>
          <w:sz w:val="24"/>
          <w:szCs w:val="24"/>
        </w:rPr>
        <w:t>目录</w:t>
      </w:r>
    </w:p>
    <w:p w14:paraId="7C81ED44">
      <w:pPr>
        <w:pStyle w:val="17"/>
        <w:spacing w:after="78"/>
        <w:rPr>
          <w:rFonts w:ascii="Times New Roman" w:eastAsia="楷体_GB2312"/>
          <w:sz w:val="24"/>
          <w:szCs w:val="24"/>
          <w14:ligatures w14:val="standardContextual"/>
        </w:rPr>
      </w:pPr>
      <w:r>
        <w:rPr>
          <w:rFonts w:ascii="Times New Roman" w:eastAsia="楷体_GB2312"/>
          <w:b/>
          <w:smallCaps/>
          <w:sz w:val="24"/>
          <w:szCs w:val="24"/>
        </w:rPr>
        <w:fldChar w:fldCharType="begin"/>
      </w:r>
      <w:r>
        <w:rPr>
          <w:rStyle w:val="32"/>
          <w:rFonts w:ascii="Times New Roman" w:eastAsia="楷体_GB2312"/>
          <w:b/>
          <w:smallCaps/>
          <w:color w:val="auto"/>
          <w:sz w:val="24"/>
          <w:szCs w:val="24"/>
        </w:rPr>
        <w:instrText xml:space="preserve"> TOC \o "1-1" \h \z \u </w:instrText>
      </w:r>
      <w:r>
        <w:rPr>
          <w:rFonts w:ascii="Times New Roman" w:eastAsia="楷体_GB2312"/>
          <w:b/>
          <w:smallCaps/>
          <w:sz w:val="24"/>
          <w:szCs w:val="24"/>
        </w:rPr>
        <w:fldChar w:fldCharType="separate"/>
      </w:r>
      <w:r>
        <w:fldChar w:fldCharType="begin"/>
      </w:r>
      <w:r>
        <w:instrText xml:space="preserve">HYPERLINK \l "_Toc221382845"</w:instrText>
      </w:r>
      <w:r>
        <w:fldChar w:fldCharType="separate"/>
      </w:r>
      <w:r>
        <w:rPr>
          <w:rStyle w:val="32"/>
          <w:rFonts w:ascii="Times New Roman" w:eastAsia="楷体_GB2312"/>
          <w:b/>
          <w:bCs/>
          <w:sz w:val="24"/>
          <w:szCs w:val="24"/>
        </w:rPr>
        <w:t>1</w:t>
      </w:r>
      <w:r>
        <w:rPr>
          <w:rFonts w:ascii="Times New Roman" w:eastAsia="楷体_GB2312"/>
          <w:sz w:val="24"/>
          <w:szCs w:val="24"/>
          <w14:ligatures w14:val="standardContextual"/>
        </w:rPr>
        <w:tab/>
      </w:r>
      <w:r>
        <w:rPr>
          <w:rStyle w:val="32"/>
          <w:rFonts w:ascii="Times New Roman" w:eastAsia="楷体_GB2312"/>
          <w:b/>
          <w:sz w:val="24"/>
          <w:szCs w:val="24"/>
        </w:rPr>
        <w:t>定义</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_Toc221382845 \h </w:instrText>
      </w:r>
      <w:r>
        <w:rPr>
          <w:rFonts w:ascii="Times New Roman" w:eastAsia="楷体_GB2312"/>
          <w:sz w:val="24"/>
          <w:szCs w:val="24"/>
        </w:rPr>
        <w:fldChar w:fldCharType="separate"/>
      </w:r>
      <w:r>
        <w:rPr>
          <w:rFonts w:ascii="Times New Roman" w:eastAsia="楷体_GB2312"/>
          <w:sz w:val="24"/>
          <w:szCs w:val="24"/>
        </w:rPr>
        <w:t>1</w:t>
      </w:r>
      <w:r>
        <w:rPr>
          <w:rFonts w:ascii="Times New Roman" w:eastAsia="楷体_GB2312"/>
          <w:sz w:val="24"/>
          <w:szCs w:val="24"/>
        </w:rPr>
        <w:fldChar w:fldCharType="end"/>
      </w:r>
      <w:r>
        <w:fldChar w:fldCharType="end"/>
      </w:r>
    </w:p>
    <w:p w14:paraId="1F7837B3">
      <w:pPr>
        <w:pStyle w:val="17"/>
        <w:spacing w:after="78"/>
        <w:rPr>
          <w:rFonts w:ascii="Times New Roman" w:eastAsia="楷体_GB2312"/>
          <w:sz w:val="24"/>
          <w:szCs w:val="24"/>
          <w14:ligatures w14:val="standardContextual"/>
        </w:rPr>
      </w:pPr>
      <w:r>
        <w:fldChar w:fldCharType="begin"/>
      </w:r>
      <w:r>
        <w:instrText xml:space="preserve">HYPERLINK \l "_Toc221382846"</w:instrText>
      </w:r>
      <w:r>
        <w:fldChar w:fldCharType="separate"/>
      </w:r>
      <w:r>
        <w:rPr>
          <w:rStyle w:val="32"/>
          <w:rFonts w:ascii="Times New Roman" w:eastAsia="楷体_GB2312"/>
          <w:b/>
          <w:bCs/>
          <w:sz w:val="24"/>
          <w:szCs w:val="24"/>
        </w:rPr>
        <w:t>2</w:t>
      </w:r>
      <w:r>
        <w:rPr>
          <w:rFonts w:ascii="Times New Roman" w:eastAsia="楷体_GB2312"/>
          <w:sz w:val="24"/>
          <w:szCs w:val="24"/>
          <w14:ligatures w14:val="standardContextual"/>
        </w:rPr>
        <w:tab/>
      </w:r>
      <w:r>
        <w:rPr>
          <w:rStyle w:val="32"/>
          <w:rFonts w:ascii="Times New Roman" w:eastAsia="楷体_GB2312"/>
          <w:b/>
          <w:bCs/>
          <w:sz w:val="24"/>
          <w:szCs w:val="24"/>
        </w:rPr>
        <w:t>信托目的</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_Toc221382846 \h </w:instrText>
      </w:r>
      <w:r>
        <w:rPr>
          <w:rFonts w:ascii="Times New Roman" w:eastAsia="楷体_GB2312"/>
          <w:sz w:val="24"/>
          <w:szCs w:val="24"/>
        </w:rPr>
        <w:fldChar w:fldCharType="separate"/>
      </w:r>
      <w:r>
        <w:rPr>
          <w:rFonts w:ascii="Times New Roman" w:eastAsia="楷体_GB2312"/>
          <w:sz w:val="24"/>
          <w:szCs w:val="24"/>
        </w:rPr>
        <w:t>1</w:t>
      </w:r>
      <w:r>
        <w:rPr>
          <w:rFonts w:ascii="Times New Roman" w:eastAsia="楷体_GB2312"/>
          <w:sz w:val="24"/>
          <w:szCs w:val="24"/>
        </w:rPr>
        <w:fldChar w:fldCharType="end"/>
      </w:r>
      <w:r>
        <w:fldChar w:fldCharType="end"/>
      </w:r>
    </w:p>
    <w:p w14:paraId="61FD9A61">
      <w:pPr>
        <w:pStyle w:val="17"/>
        <w:spacing w:after="78"/>
        <w:rPr>
          <w:rFonts w:ascii="Times New Roman" w:eastAsia="楷体_GB2312"/>
          <w:sz w:val="24"/>
          <w:szCs w:val="24"/>
          <w14:ligatures w14:val="standardContextual"/>
        </w:rPr>
      </w:pPr>
      <w:r>
        <w:fldChar w:fldCharType="begin"/>
      </w:r>
      <w:r>
        <w:instrText xml:space="preserve">HYPERLINK \l "_Toc221382847"</w:instrText>
      </w:r>
      <w:r>
        <w:fldChar w:fldCharType="separate"/>
      </w:r>
      <w:r>
        <w:rPr>
          <w:rStyle w:val="32"/>
          <w:rFonts w:ascii="Times New Roman" w:eastAsia="楷体_GB2312"/>
          <w:b/>
          <w:bCs/>
          <w:sz w:val="24"/>
          <w:szCs w:val="24"/>
        </w:rPr>
        <w:t>3</w:t>
      </w:r>
      <w:r>
        <w:rPr>
          <w:rFonts w:ascii="Times New Roman" w:eastAsia="楷体_GB2312"/>
          <w:sz w:val="24"/>
          <w:szCs w:val="24"/>
          <w14:ligatures w14:val="standardContextual"/>
        </w:rPr>
        <w:tab/>
      </w:r>
      <w:r>
        <w:rPr>
          <w:rStyle w:val="32"/>
          <w:rFonts w:ascii="Times New Roman" w:eastAsia="楷体_GB2312"/>
          <w:b/>
          <w:sz w:val="24"/>
          <w:szCs w:val="24"/>
        </w:rPr>
        <w:t>信托的设立</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_Toc221382847 \h </w:instrText>
      </w:r>
      <w:r>
        <w:rPr>
          <w:rFonts w:ascii="Times New Roman" w:eastAsia="楷体_GB2312"/>
          <w:sz w:val="24"/>
          <w:szCs w:val="24"/>
        </w:rPr>
        <w:fldChar w:fldCharType="separate"/>
      </w:r>
      <w:r>
        <w:rPr>
          <w:rFonts w:ascii="Times New Roman" w:eastAsia="楷体_GB2312"/>
          <w:sz w:val="24"/>
          <w:szCs w:val="24"/>
        </w:rPr>
        <w:t>1</w:t>
      </w:r>
      <w:r>
        <w:rPr>
          <w:rFonts w:ascii="Times New Roman" w:eastAsia="楷体_GB2312"/>
          <w:sz w:val="24"/>
          <w:szCs w:val="24"/>
        </w:rPr>
        <w:fldChar w:fldCharType="end"/>
      </w:r>
      <w:r>
        <w:fldChar w:fldCharType="end"/>
      </w:r>
    </w:p>
    <w:p w14:paraId="59185899">
      <w:pPr>
        <w:pStyle w:val="17"/>
        <w:spacing w:after="78"/>
        <w:rPr>
          <w:rFonts w:ascii="Times New Roman" w:eastAsia="楷体_GB2312"/>
          <w:sz w:val="24"/>
          <w:szCs w:val="24"/>
          <w14:ligatures w14:val="standardContextual"/>
        </w:rPr>
      </w:pPr>
      <w:r>
        <w:fldChar w:fldCharType="begin"/>
      </w:r>
      <w:r>
        <w:instrText xml:space="preserve">HYPERLINK \l "_Toc221382848"</w:instrText>
      </w:r>
      <w:r>
        <w:fldChar w:fldCharType="separate"/>
      </w:r>
      <w:r>
        <w:rPr>
          <w:rStyle w:val="32"/>
          <w:rFonts w:ascii="Times New Roman" w:eastAsia="楷体_GB2312"/>
          <w:b/>
          <w:bCs/>
          <w:sz w:val="24"/>
          <w:szCs w:val="24"/>
        </w:rPr>
        <w:t>4</w:t>
      </w:r>
      <w:r>
        <w:rPr>
          <w:rFonts w:ascii="Times New Roman" w:eastAsia="楷体_GB2312"/>
          <w:sz w:val="24"/>
          <w:szCs w:val="24"/>
          <w14:ligatures w14:val="standardContextual"/>
        </w:rPr>
        <w:tab/>
      </w:r>
      <w:r>
        <w:rPr>
          <w:rStyle w:val="32"/>
          <w:rFonts w:ascii="Times New Roman" w:eastAsia="楷体_GB2312"/>
          <w:b/>
          <w:sz w:val="24"/>
          <w:szCs w:val="24"/>
        </w:rPr>
        <w:t>委托人</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_Toc221382848 \h </w:instrText>
      </w:r>
      <w:r>
        <w:rPr>
          <w:rFonts w:ascii="Times New Roman" w:eastAsia="楷体_GB2312"/>
          <w:sz w:val="24"/>
          <w:szCs w:val="24"/>
        </w:rPr>
        <w:fldChar w:fldCharType="separate"/>
      </w:r>
      <w:r>
        <w:rPr>
          <w:rFonts w:ascii="Times New Roman" w:eastAsia="楷体_GB2312"/>
          <w:sz w:val="24"/>
          <w:szCs w:val="24"/>
        </w:rPr>
        <w:t>15</w:t>
      </w:r>
      <w:r>
        <w:rPr>
          <w:rFonts w:ascii="Times New Roman" w:eastAsia="楷体_GB2312"/>
          <w:sz w:val="24"/>
          <w:szCs w:val="24"/>
        </w:rPr>
        <w:fldChar w:fldCharType="end"/>
      </w:r>
      <w:r>
        <w:fldChar w:fldCharType="end"/>
      </w:r>
    </w:p>
    <w:p w14:paraId="160BCBDD">
      <w:pPr>
        <w:pStyle w:val="17"/>
        <w:spacing w:after="78"/>
        <w:rPr>
          <w:rFonts w:ascii="Times New Roman" w:eastAsia="楷体_GB2312"/>
          <w:sz w:val="24"/>
          <w:szCs w:val="24"/>
          <w14:ligatures w14:val="standardContextual"/>
        </w:rPr>
      </w:pPr>
      <w:r>
        <w:fldChar w:fldCharType="begin"/>
      </w:r>
      <w:r>
        <w:instrText xml:space="preserve">HYPERLINK \l "_Toc221382849"</w:instrText>
      </w:r>
      <w:r>
        <w:fldChar w:fldCharType="separate"/>
      </w:r>
      <w:r>
        <w:rPr>
          <w:rStyle w:val="32"/>
          <w:rFonts w:ascii="Times New Roman" w:eastAsia="楷体_GB2312"/>
          <w:b/>
          <w:bCs/>
          <w:sz w:val="24"/>
          <w:szCs w:val="24"/>
        </w:rPr>
        <w:t>5</w:t>
      </w:r>
      <w:r>
        <w:rPr>
          <w:rFonts w:ascii="Times New Roman" w:eastAsia="楷体_GB2312"/>
          <w:sz w:val="24"/>
          <w:szCs w:val="24"/>
          <w14:ligatures w14:val="standardContextual"/>
        </w:rPr>
        <w:tab/>
      </w:r>
      <w:r>
        <w:rPr>
          <w:rStyle w:val="32"/>
          <w:rFonts w:ascii="Times New Roman" w:eastAsia="楷体_GB2312"/>
          <w:b/>
          <w:sz w:val="24"/>
          <w:szCs w:val="24"/>
        </w:rPr>
        <w:t>受托人</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_Toc221382849 \h </w:instrText>
      </w:r>
      <w:r>
        <w:rPr>
          <w:rFonts w:ascii="Times New Roman" w:eastAsia="楷体_GB2312"/>
          <w:sz w:val="24"/>
          <w:szCs w:val="24"/>
        </w:rPr>
        <w:fldChar w:fldCharType="separate"/>
      </w:r>
      <w:r>
        <w:rPr>
          <w:rFonts w:ascii="Times New Roman" w:eastAsia="楷体_GB2312"/>
          <w:sz w:val="24"/>
          <w:szCs w:val="24"/>
        </w:rPr>
        <w:t>23</w:t>
      </w:r>
      <w:r>
        <w:rPr>
          <w:rFonts w:ascii="Times New Roman" w:eastAsia="楷体_GB2312"/>
          <w:sz w:val="24"/>
          <w:szCs w:val="24"/>
        </w:rPr>
        <w:fldChar w:fldCharType="end"/>
      </w:r>
      <w:r>
        <w:fldChar w:fldCharType="end"/>
      </w:r>
    </w:p>
    <w:p w14:paraId="5D988E70">
      <w:pPr>
        <w:pStyle w:val="17"/>
        <w:spacing w:after="78"/>
        <w:rPr>
          <w:rFonts w:ascii="Times New Roman" w:eastAsia="楷体_GB2312"/>
          <w:sz w:val="24"/>
          <w:szCs w:val="24"/>
          <w14:ligatures w14:val="standardContextual"/>
        </w:rPr>
      </w:pPr>
      <w:r>
        <w:fldChar w:fldCharType="begin"/>
      </w:r>
      <w:r>
        <w:instrText xml:space="preserve">HYPERLINK \l "_Toc221382850"</w:instrText>
      </w:r>
      <w:r>
        <w:fldChar w:fldCharType="separate"/>
      </w:r>
      <w:r>
        <w:rPr>
          <w:rStyle w:val="32"/>
          <w:rFonts w:ascii="Times New Roman" w:eastAsia="楷体_GB2312"/>
          <w:b/>
          <w:bCs/>
          <w:sz w:val="24"/>
          <w:szCs w:val="24"/>
        </w:rPr>
        <w:t>6</w:t>
      </w:r>
      <w:r>
        <w:rPr>
          <w:rFonts w:ascii="Times New Roman" w:eastAsia="楷体_GB2312"/>
          <w:sz w:val="24"/>
          <w:szCs w:val="24"/>
          <w14:ligatures w14:val="standardContextual"/>
        </w:rPr>
        <w:tab/>
      </w:r>
      <w:r>
        <w:rPr>
          <w:rStyle w:val="32"/>
          <w:rFonts w:ascii="Times New Roman" w:eastAsia="楷体_GB2312"/>
          <w:b/>
          <w:sz w:val="24"/>
          <w:szCs w:val="24"/>
        </w:rPr>
        <w:t>受益人</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_Toc221382850 \h </w:instrText>
      </w:r>
      <w:r>
        <w:rPr>
          <w:rFonts w:ascii="Times New Roman" w:eastAsia="楷体_GB2312"/>
          <w:sz w:val="24"/>
          <w:szCs w:val="24"/>
        </w:rPr>
        <w:fldChar w:fldCharType="separate"/>
      </w:r>
      <w:r>
        <w:rPr>
          <w:rFonts w:ascii="Times New Roman" w:eastAsia="楷体_GB2312"/>
          <w:sz w:val="24"/>
          <w:szCs w:val="24"/>
        </w:rPr>
        <w:t>29</w:t>
      </w:r>
      <w:r>
        <w:rPr>
          <w:rFonts w:ascii="Times New Roman" w:eastAsia="楷体_GB2312"/>
          <w:sz w:val="24"/>
          <w:szCs w:val="24"/>
        </w:rPr>
        <w:fldChar w:fldCharType="end"/>
      </w:r>
      <w:r>
        <w:fldChar w:fldCharType="end"/>
      </w:r>
    </w:p>
    <w:p w14:paraId="409D3E85">
      <w:pPr>
        <w:pStyle w:val="17"/>
        <w:spacing w:after="78"/>
        <w:rPr>
          <w:rFonts w:ascii="Times New Roman" w:eastAsia="楷体_GB2312"/>
          <w:sz w:val="24"/>
          <w:szCs w:val="24"/>
          <w14:ligatures w14:val="standardContextual"/>
        </w:rPr>
      </w:pPr>
      <w:r>
        <w:fldChar w:fldCharType="begin"/>
      </w:r>
      <w:r>
        <w:instrText xml:space="preserve">HYPERLINK \l "_Toc221382851"</w:instrText>
      </w:r>
      <w:r>
        <w:fldChar w:fldCharType="separate"/>
      </w:r>
      <w:r>
        <w:rPr>
          <w:rStyle w:val="32"/>
          <w:rFonts w:ascii="Times New Roman" w:eastAsia="楷体_GB2312"/>
          <w:b/>
          <w:bCs/>
          <w:sz w:val="24"/>
          <w:szCs w:val="24"/>
        </w:rPr>
        <w:t>7</w:t>
      </w:r>
      <w:r>
        <w:rPr>
          <w:rFonts w:ascii="Times New Roman" w:eastAsia="楷体_GB2312"/>
          <w:sz w:val="24"/>
          <w:szCs w:val="24"/>
          <w14:ligatures w14:val="standardContextual"/>
        </w:rPr>
        <w:tab/>
      </w:r>
      <w:r>
        <w:rPr>
          <w:rStyle w:val="32"/>
          <w:rFonts w:ascii="Times New Roman" w:eastAsia="楷体_GB2312"/>
          <w:b/>
          <w:sz w:val="24"/>
          <w:szCs w:val="24"/>
        </w:rPr>
        <w:t>信托受益权和资产支持证券</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_Toc221382851 \h </w:instrText>
      </w:r>
      <w:r>
        <w:rPr>
          <w:rFonts w:ascii="Times New Roman" w:eastAsia="楷体_GB2312"/>
          <w:sz w:val="24"/>
          <w:szCs w:val="24"/>
        </w:rPr>
        <w:fldChar w:fldCharType="separate"/>
      </w:r>
      <w:r>
        <w:rPr>
          <w:rFonts w:ascii="Times New Roman" w:eastAsia="楷体_GB2312"/>
          <w:sz w:val="24"/>
          <w:szCs w:val="24"/>
        </w:rPr>
        <w:t>30</w:t>
      </w:r>
      <w:r>
        <w:rPr>
          <w:rFonts w:ascii="Times New Roman" w:eastAsia="楷体_GB2312"/>
          <w:sz w:val="24"/>
          <w:szCs w:val="24"/>
        </w:rPr>
        <w:fldChar w:fldCharType="end"/>
      </w:r>
      <w:r>
        <w:fldChar w:fldCharType="end"/>
      </w:r>
    </w:p>
    <w:p w14:paraId="6B745A5E">
      <w:pPr>
        <w:pStyle w:val="17"/>
        <w:spacing w:after="78"/>
        <w:rPr>
          <w:rFonts w:ascii="Times New Roman" w:eastAsia="楷体_GB2312"/>
          <w:sz w:val="24"/>
          <w:szCs w:val="24"/>
          <w14:ligatures w14:val="standardContextual"/>
        </w:rPr>
      </w:pPr>
      <w:r>
        <w:fldChar w:fldCharType="begin"/>
      </w:r>
      <w:r>
        <w:instrText xml:space="preserve">HYPERLINK \l "_Toc221382852"</w:instrText>
      </w:r>
      <w:r>
        <w:fldChar w:fldCharType="separate"/>
      </w:r>
      <w:r>
        <w:rPr>
          <w:rStyle w:val="32"/>
          <w:rFonts w:ascii="Times New Roman" w:eastAsia="楷体_GB2312"/>
          <w:b/>
          <w:bCs/>
          <w:sz w:val="24"/>
          <w:szCs w:val="24"/>
        </w:rPr>
        <w:t>8</w:t>
      </w:r>
      <w:r>
        <w:rPr>
          <w:rFonts w:ascii="Times New Roman" w:eastAsia="楷体_GB2312"/>
          <w:sz w:val="24"/>
          <w:szCs w:val="24"/>
          <w14:ligatures w14:val="standardContextual"/>
        </w:rPr>
        <w:tab/>
      </w:r>
      <w:r>
        <w:rPr>
          <w:rStyle w:val="32"/>
          <w:rFonts w:ascii="Times New Roman" w:eastAsia="楷体_GB2312"/>
          <w:b/>
          <w:sz w:val="24"/>
          <w:szCs w:val="24"/>
        </w:rPr>
        <w:t>信托账户</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_Toc221382852 \h </w:instrText>
      </w:r>
      <w:r>
        <w:rPr>
          <w:rFonts w:ascii="Times New Roman" w:eastAsia="楷体_GB2312"/>
          <w:sz w:val="24"/>
          <w:szCs w:val="24"/>
        </w:rPr>
        <w:fldChar w:fldCharType="separate"/>
      </w:r>
      <w:r>
        <w:rPr>
          <w:rFonts w:ascii="Times New Roman" w:eastAsia="楷体_GB2312"/>
          <w:sz w:val="24"/>
          <w:szCs w:val="24"/>
        </w:rPr>
        <w:t>37</w:t>
      </w:r>
      <w:r>
        <w:rPr>
          <w:rFonts w:ascii="Times New Roman" w:eastAsia="楷体_GB2312"/>
          <w:sz w:val="24"/>
          <w:szCs w:val="24"/>
        </w:rPr>
        <w:fldChar w:fldCharType="end"/>
      </w:r>
      <w:r>
        <w:fldChar w:fldCharType="end"/>
      </w:r>
    </w:p>
    <w:p w14:paraId="69BBB11F">
      <w:pPr>
        <w:pStyle w:val="17"/>
        <w:spacing w:after="78"/>
        <w:rPr>
          <w:rFonts w:ascii="Times New Roman" w:eastAsia="楷体_GB2312"/>
          <w:sz w:val="24"/>
          <w:szCs w:val="24"/>
          <w14:ligatures w14:val="standardContextual"/>
        </w:rPr>
      </w:pPr>
      <w:r>
        <w:fldChar w:fldCharType="begin"/>
      </w:r>
      <w:r>
        <w:instrText xml:space="preserve">HYPERLINK \l "_Toc221382853"</w:instrText>
      </w:r>
      <w:r>
        <w:fldChar w:fldCharType="separate"/>
      </w:r>
      <w:r>
        <w:rPr>
          <w:rStyle w:val="32"/>
          <w:rFonts w:ascii="Times New Roman" w:eastAsia="楷体_GB2312"/>
          <w:b/>
          <w:bCs/>
          <w:sz w:val="24"/>
          <w:szCs w:val="24"/>
        </w:rPr>
        <w:t>9</w:t>
      </w:r>
      <w:r>
        <w:rPr>
          <w:rFonts w:ascii="Times New Roman" w:eastAsia="楷体_GB2312"/>
          <w:sz w:val="24"/>
          <w:szCs w:val="24"/>
          <w14:ligatures w14:val="standardContextual"/>
        </w:rPr>
        <w:tab/>
      </w:r>
      <w:r>
        <w:rPr>
          <w:rStyle w:val="32"/>
          <w:rFonts w:ascii="Times New Roman" w:eastAsia="楷体_GB2312"/>
          <w:b/>
          <w:sz w:val="24"/>
          <w:szCs w:val="24"/>
        </w:rPr>
        <w:t>回收款的转付与分配</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_Toc221382853 \h </w:instrText>
      </w:r>
      <w:r>
        <w:rPr>
          <w:rFonts w:ascii="Times New Roman" w:eastAsia="楷体_GB2312"/>
          <w:sz w:val="24"/>
          <w:szCs w:val="24"/>
        </w:rPr>
        <w:fldChar w:fldCharType="separate"/>
      </w:r>
      <w:r>
        <w:rPr>
          <w:rFonts w:ascii="Times New Roman" w:eastAsia="楷体_GB2312"/>
          <w:sz w:val="24"/>
          <w:szCs w:val="24"/>
        </w:rPr>
        <w:t>37</w:t>
      </w:r>
      <w:r>
        <w:rPr>
          <w:rFonts w:ascii="Times New Roman" w:eastAsia="楷体_GB2312"/>
          <w:sz w:val="24"/>
          <w:szCs w:val="24"/>
        </w:rPr>
        <w:fldChar w:fldCharType="end"/>
      </w:r>
      <w:r>
        <w:fldChar w:fldCharType="end"/>
      </w:r>
    </w:p>
    <w:p w14:paraId="6086DE88">
      <w:pPr>
        <w:pStyle w:val="17"/>
        <w:spacing w:after="78"/>
        <w:rPr>
          <w:rFonts w:ascii="Times New Roman" w:eastAsia="楷体_GB2312"/>
          <w:sz w:val="24"/>
          <w:szCs w:val="24"/>
          <w14:ligatures w14:val="standardContextual"/>
        </w:rPr>
      </w:pPr>
      <w:r>
        <w:fldChar w:fldCharType="begin"/>
      </w:r>
      <w:r>
        <w:instrText xml:space="preserve">HYPERLINK \l "_Toc221382854"</w:instrText>
      </w:r>
      <w:r>
        <w:fldChar w:fldCharType="separate"/>
      </w:r>
      <w:r>
        <w:rPr>
          <w:rStyle w:val="32"/>
          <w:rFonts w:ascii="Times New Roman" w:eastAsia="楷体_GB2312"/>
          <w:b/>
          <w:bCs/>
          <w:sz w:val="24"/>
          <w:szCs w:val="24"/>
        </w:rPr>
        <w:t>10</w:t>
      </w:r>
      <w:r>
        <w:rPr>
          <w:rFonts w:ascii="Times New Roman" w:eastAsia="楷体_GB2312"/>
          <w:sz w:val="24"/>
          <w:szCs w:val="24"/>
          <w14:ligatures w14:val="standardContextual"/>
        </w:rPr>
        <w:tab/>
      </w:r>
      <w:r>
        <w:rPr>
          <w:rStyle w:val="32"/>
          <w:rFonts w:ascii="Times New Roman" w:eastAsia="楷体_GB2312"/>
          <w:b/>
          <w:sz w:val="24"/>
          <w:szCs w:val="24"/>
        </w:rPr>
        <w:t>信托</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_Toc221382854 \h </w:instrText>
      </w:r>
      <w:r>
        <w:rPr>
          <w:rFonts w:ascii="Times New Roman" w:eastAsia="楷体_GB2312"/>
          <w:sz w:val="24"/>
          <w:szCs w:val="24"/>
        </w:rPr>
        <w:fldChar w:fldCharType="separate"/>
      </w:r>
      <w:r>
        <w:rPr>
          <w:rFonts w:ascii="Times New Roman" w:eastAsia="楷体_GB2312"/>
          <w:sz w:val="24"/>
          <w:szCs w:val="24"/>
        </w:rPr>
        <w:t>38</w:t>
      </w:r>
      <w:r>
        <w:rPr>
          <w:rFonts w:ascii="Times New Roman" w:eastAsia="楷体_GB2312"/>
          <w:sz w:val="24"/>
          <w:szCs w:val="24"/>
        </w:rPr>
        <w:fldChar w:fldCharType="end"/>
      </w:r>
      <w:r>
        <w:fldChar w:fldCharType="end"/>
      </w:r>
    </w:p>
    <w:p w14:paraId="3113F34E">
      <w:pPr>
        <w:pStyle w:val="17"/>
        <w:spacing w:after="78"/>
        <w:rPr>
          <w:rFonts w:ascii="Times New Roman" w:eastAsia="楷体_GB2312"/>
          <w:sz w:val="24"/>
          <w:szCs w:val="24"/>
          <w14:ligatures w14:val="standardContextual"/>
        </w:rPr>
      </w:pPr>
      <w:r>
        <w:fldChar w:fldCharType="begin"/>
      </w:r>
      <w:r>
        <w:instrText xml:space="preserve">HYPERLINK \l "_Toc221382855"</w:instrText>
      </w:r>
      <w:r>
        <w:fldChar w:fldCharType="separate"/>
      </w:r>
      <w:r>
        <w:rPr>
          <w:rStyle w:val="32"/>
          <w:rFonts w:ascii="Times New Roman" w:eastAsia="楷体_GB2312"/>
          <w:b/>
          <w:bCs/>
          <w:sz w:val="24"/>
          <w:szCs w:val="24"/>
        </w:rPr>
        <w:t>11</w:t>
      </w:r>
      <w:r>
        <w:rPr>
          <w:rFonts w:ascii="Times New Roman" w:eastAsia="楷体_GB2312"/>
          <w:sz w:val="24"/>
          <w:szCs w:val="24"/>
          <w14:ligatures w14:val="standardContextual"/>
        </w:rPr>
        <w:tab/>
      </w:r>
      <w:r>
        <w:rPr>
          <w:rStyle w:val="32"/>
          <w:rFonts w:ascii="Times New Roman" w:eastAsia="楷体_GB2312"/>
          <w:b/>
          <w:bCs/>
          <w:sz w:val="24"/>
          <w:szCs w:val="24"/>
        </w:rPr>
        <w:t>信托财产的管理办法及</w:t>
      </w:r>
      <w:r>
        <w:rPr>
          <w:rStyle w:val="32"/>
          <w:rFonts w:ascii="Times New Roman" w:eastAsia="楷体_GB2312"/>
          <w:b/>
          <w:sz w:val="24"/>
          <w:szCs w:val="24"/>
        </w:rPr>
        <w:t>接受受托机构委托代理信托事务的机构的职责</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_Toc221382855 \h </w:instrText>
      </w:r>
      <w:r>
        <w:rPr>
          <w:rFonts w:ascii="Times New Roman" w:eastAsia="楷体_GB2312"/>
          <w:sz w:val="24"/>
          <w:szCs w:val="24"/>
        </w:rPr>
        <w:fldChar w:fldCharType="separate"/>
      </w:r>
      <w:r>
        <w:rPr>
          <w:rFonts w:ascii="Times New Roman" w:eastAsia="楷体_GB2312"/>
          <w:sz w:val="24"/>
          <w:szCs w:val="24"/>
        </w:rPr>
        <w:t>48</w:t>
      </w:r>
      <w:r>
        <w:rPr>
          <w:rFonts w:ascii="Times New Roman" w:eastAsia="楷体_GB2312"/>
          <w:sz w:val="24"/>
          <w:szCs w:val="24"/>
        </w:rPr>
        <w:fldChar w:fldCharType="end"/>
      </w:r>
      <w:r>
        <w:fldChar w:fldCharType="end"/>
      </w:r>
    </w:p>
    <w:p w14:paraId="6569C064">
      <w:pPr>
        <w:pStyle w:val="17"/>
        <w:spacing w:after="78"/>
        <w:rPr>
          <w:rFonts w:ascii="Times New Roman" w:eastAsia="楷体_GB2312"/>
          <w:sz w:val="24"/>
          <w:szCs w:val="24"/>
          <w14:ligatures w14:val="standardContextual"/>
        </w:rPr>
      </w:pPr>
      <w:r>
        <w:fldChar w:fldCharType="begin"/>
      </w:r>
      <w:r>
        <w:instrText xml:space="preserve"> HYPERLINK \l "_Toc221382856" </w:instrText>
      </w:r>
      <w:r>
        <w:fldChar w:fldCharType="separate"/>
      </w:r>
      <w:r>
        <w:rPr>
          <w:rStyle w:val="32"/>
          <w:rFonts w:ascii="Times New Roman" w:eastAsia="楷体_GB2312"/>
          <w:b/>
          <w:bCs/>
          <w:sz w:val="24"/>
          <w:szCs w:val="24"/>
        </w:rPr>
        <w:t>12</w:t>
      </w:r>
      <w:r>
        <w:rPr>
          <w:rFonts w:ascii="Times New Roman" w:eastAsia="楷体_GB2312"/>
          <w:sz w:val="24"/>
          <w:szCs w:val="24"/>
          <w14:ligatures w14:val="standardContextual"/>
        </w:rPr>
        <w:tab/>
      </w:r>
      <w:r>
        <w:rPr>
          <w:rStyle w:val="32"/>
          <w:rFonts w:ascii="Times New Roman" w:eastAsia="楷体_GB2312"/>
          <w:b/>
          <w:sz w:val="24"/>
          <w:szCs w:val="24"/>
        </w:rPr>
        <w:t>不合格信贷资产的赎回</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_Toc221382856 \h </w:instrText>
      </w:r>
      <w:r>
        <w:rPr>
          <w:rFonts w:ascii="Times New Roman" w:eastAsia="楷体_GB2312"/>
          <w:sz w:val="24"/>
          <w:szCs w:val="24"/>
        </w:rPr>
        <w:fldChar w:fldCharType="separate"/>
      </w:r>
      <w:r>
        <w:rPr>
          <w:rFonts w:ascii="Times New Roman" w:eastAsia="楷体_GB2312"/>
          <w:sz w:val="24"/>
          <w:szCs w:val="24"/>
        </w:rPr>
        <w:t>53</w:t>
      </w:r>
      <w:r>
        <w:rPr>
          <w:rFonts w:ascii="Times New Roman" w:eastAsia="楷体_GB2312"/>
          <w:sz w:val="24"/>
          <w:szCs w:val="24"/>
        </w:rPr>
        <w:fldChar w:fldCharType="end"/>
      </w:r>
      <w:r>
        <w:rPr>
          <w:rFonts w:ascii="Times New Roman" w:eastAsia="楷体_GB2312"/>
          <w:sz w:val="24"/>
          <w:szCs w:val="24"/>
        </w:rPr>
        <w:fldChar w:fldCharType="end"/>
      </w:r>
    </w:p>
    <w:p w14:paraId="250699FE">
      <w:pPr>
        <w:pStyle w:val="17"/>
        <w:spacing w:after="78"/>
        <w:rPr>
          <w:rFonts w:ascii="Times New Roman" w:eastAsia="楷体_GB2312"/>
          <w:sz w:val="24"/>
          <w:szCs w:val="24"/>
          <w14:ligatures w14:val="standardContextual"/>
        </w:rPr>
      </w:pPr>
      <w:r>
        <w:fldChar w:fldCharType="begin"/>
      </w:r>
      <w:r>
        <w:instrText xml:space="preserve">HYPERLINK \l "_Toc221382857"</w:instrText>
      </w:r>
      <w:r>
        <w:fldChar w:fldCharType="separate"/>
      </w:r>
      <w:r>
        <w:rPr>
          <w:rStyle w:val="32"/>
          <w:rFonts w:ascii="Times New Roman" w:eastAsia="楷体_GB2312"/>
          <w:b/>
          <w:bCs/>
          <w:sz w:val="24"/>
          <w:szCs w:val="24"/>
        </w:rPr>
        <w:t>13</w:t>
      </w:r>
      <w:r>
        <w:rPr>
          <w:rFonts w:ascii="Times New Roman" w:eastAsia="楷体_GB2312"/>
          <w:sz w:val="24"/>
          <w:szCs w:val="24"/>
          <w14:ligatures w14:val="standardContextual"/>
        </w:rPr>
        <w:tab/>
      </w:r>
      <w:r>
        <w:rPr>
          <w:rStyle w:val="32"/>
          <w:rFonts w:ascii="Times New Roman" w:eastAsia="楷体_GB2312"/>
          <w:b/>
          <w:sz w:val="24"/>
          <w:szCs w:val="24"/>
        </w:rPr>
        <w:t>受托人辞任、解任、更换和持续管理义务</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_Toc221382857 \h </w:instrText>
      </w:r>
      <w:r>
        <w:rPr>
          <w:rFonts w:ascii="Times New Roman" w:eastAsia="楷体_GB2312"/>
          <w:sz w:val="24"/>
          <w:szCs w:val="24"/>
        </w:rPr>
        <w:fldChar w:fldCharType="separate"/>
      </w:r>
      <w:r>
        <w:rPr>
          <w:rFonts w:ascii="Times New Roman" w:eastAsia="楷体_GB2312"/>
          <w:sz w:val="24"/>
          <w:szCs w:val="24"/>
        </w:rPr>
        <w:t>54</w:t>
      </w:r>
      <w:r>
        <w:rPr>
          <w:rFonts w:ascii="Times New Roman" w:eastAsia="楷体_GB2312"/>
          <w:sz w:val="24"/>
          <w:szCs w:val="24"/>
        </w:rPr>
        <w:fldChar w:fldCharType="end"/>
      </w:r>
      <w:r>
        <w:fldChar w:fldCharType="end"/>
      </w:r>
    </w:p>
    <w:p w14:paraId="094E5AB3">
      <w:pPr>
        <w:pStyle w:val="17"/>
        <w:spacing w:after="78"/>
        <w:rPr>
          <w:rFonts w:ascii="Times New Roman" w:eastAsia="楷体_GB2312"/>
          <w:sz w:val="24"/>
          <w:szCs w:val="24"/>
          <w14:ligatures w14:val="standardContextual"/>
        </w:rPr>
      </w:pPr>
      <w:r>
        <w:fldChar w:fldCharType="begin"/>
      </w:r>
      <w:r>
        <w:instrText xml:space="preserve">HYPERLINK \l "_Toc221382858"</w:instrText>
      </w:r>
      <w:r>
        <w:fldChar w:fldCharType="separate"/>
      </w:r>
      <w:r>
        <w:rPr>
          <w:rStyle w:val="32"/>
          <w:rFonts w:ascii="Times New Roman" w:eastAsia="楷体_GB2312"/>
          <w:b/>
          <w:bCs/>
          <w:sz w:val="24"/>
          <w:szCs w:val="24"/>
        </w:rPr>
        <w:t>14</w:t>
      </w:r>
      <w:r>
        <w:rPr>
          <w:rFonts w:ascii="Times New Roman" w:eastAsia="楷体_GB2312"/>
          <w:sz w:val="24"/>
          <w:szCs w:val="24"/>
          <w14:ligatures w14:val="standardContextual"/>
        </w:rPr>
        <w:tab/>
      </w:r>
      <w:r>
        <w:rPr>
          <w:rStyle w:val="32"/>
          <w:rFonts w:ascii="Times New Roman" w:eastAsia="楷体_GB2312"/>
          <w:b/>
          <w:sz w:val="24"/>
          <w:szCs w:val="24"/>
        </w:rPr>
        <w:t>清仓回购</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_Toc221382858 \h </w:instrText>
      </w:r>
      <w:r>
        <w:rPr>
          <w:rFonts w:ascii="Times New Roman" w:eastAsia="楷体_GB2312"/>
          <w:sz w:val="24"/>
          <w:szCs w:val="24"/>
        </w:rPr>
        <w:fldChar w:fldCharType="separate"/>
      </w:r>
      <w:r>
        <w:rPr>
          <w:rFonts w:ascii="Times New Roman" w:eastAsia="楷体_GB2312"/>
          <w:sz w:val="24"/>
          <w:szCs w:val="24"/>
        </w:rPr>
        <w:t>56</w:t>
      </w:r>
      <w:r>
        <w:rPr>
          <w:rFonts w:ascii="Times New Roman" w:eastAsia="楷体_GB2312"/>
          <w:sz w:val="24"/>
          <w:szCs w:val="24"/>
        </w:rPr>
        <w:fldChar w:fldCharType="end"/>
      </w:r>
      <w:r>
        <w:fldChar w:fldCharType="end"/>
      </w:r>
    </w:p>
    <w:p w14:paraId="1DFA4C10">
      <w:pPr>
        <w:pStyle w:val="17"/>
        <w:spacing w:after="78"/>
        <w:rPr>
          <w:rFonts w:ascii="Times New Roman" w:eastAsia="楷体_GB2312"/>
          <w:sz w:val="24"/>
          <w:szCs w:val="24"/>
          <w14:ligatures w14:val="standardContextual"/>
        </w:rPr>
      </w:pPr>
      <w:r>
        <w:fldChar w:fldCharType="begin"/>
      </w:r>
      <w:r>
        <w:instrText xml:space="preserve">HYPERLINK \l "_Toc221382859"</w:instrText>
      </w:r>
      <w:r>
        <w:fldChar w:fldCharType="separate"/>
      </w:r>
      <w:r>
        <w:rPr>
          <w:rStyle w:val="32"/>
          <w:rFonts w:ascii="Times New Roman" w:eastAsia="楷体_GB2312"/>
          <w:b/>
          <w:bCs/>
          <w:sz w:val="24"/>
          <w:szCs w:val="24"/>
        </w:rPr>
        <w:t>15</w:t>
      </w:r>
      <w:r>
        <w:rPr>
          <w:rFonts w:ascii="Times New Roman" w:eastAsia="楷体_GB2312"/>
          <w:sz w:val="24"/>
          <w:szCs w:val="24"/>
          <w14:ligatures w14:val="standardContextual"/>
        </w:rPr>
        <w:tab/>
      </w:r>
      <w:r>
        <w:rPr>
          <w:rStyle w:val="32"/>
          <w:rFonts w:ascii="Times New Roman" w:eastAsia="楷体_GB2312"/>
          <w:b/>
          <w:sz w:val="24"/>
          <w:szCs w:val="24"/>
        </w:rPr>
        <w:t>信托的核算</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_Toc221382859 \h </w:instrText>
      </w:r>
      <w:r>
        <w:rPr>
          <w:rFonts w:ascii="Times New Roman" w:eastAsia="楷体_GB2312"/>
          <w:sz w:val="24"/>
          <w:szCs w:val="24"/>
        </w:rPr>
        <w:fldChar w:fldCharType="separate"/>
      </w:r>
      <w:r>
        <w:rPr>
          <w:rFonts w:ascii="Times New Roman" w:eastAsia="楷体_GB2312"/>
          <w:sz w:val="24"/>
          <w:szCs w:val="24"/>
        </w:rPr>
        <w:t>59</w:t>
      </w:r>
      <w:r>
        <w:rPr>
          <w:rFonts w:ascii="Times New Roman" w:eastAsia="楷体_GB2312"/>
          <w:sz w:val="24"/>
          <w:szCs w:val="24"/>
        </w:rPr>
        <w:fldChar w:fldCharType="end"/>
      </w:r>
      <w:r>
        <w:fldChar w:fldCharType="end"/>
      </w:r>
    </w:p>
    <w:p w14:paraId="2644BCC8">
      <w:pPr>
        <w:pStyle w:val="17"/>
        <w:spacing w:after="78"/>
        <w:rPr>
          <w:rFonts w:ascii="Times New Roman" w:eastAsia="楷体_GB2312"/>
          <w:sz w:val="24"/>
          <w:szCs w:val="24"/>
          <w14:ligatures w14:val="standardContextual"/>
        </w:rPr>
      </w:pPr>
      <w:r>
        <w:fldChar w:fldCharType="begin"/>
      </w:r>
      <w:r>
        <w:instrText xml:space="preserve">HYPERLINK \l "_Toc221382860"</w:instrText>
      </w:r>
      <w:r>
        <w:fldChar w:fldCharType="separate"/>
      </w:r>
      <w:r>
        <w:rPr>
          <w:rStyle w:val="32"/>
          <w:rFonts w:ascii="Times New Roman" w:eastAsia="楷体_GB2312"/>
          <w:b/>
          <w:bCs/>
          <w:sz w:val="24"/>
          <w:szCs w:val="24"/>
        </w:rPr>
        <w:t>16</w:t>
      </w:r>
      <w:r>
        <w:rPr>
          <w:rFonts w:ascii="Times New Roman" w:eastAsia="楷体_GB2312"/>
          <w:sz w:val="24"/>
          <w:szCs w:val="24"/>
          <w14:ligatures w14:val="standardContextual"/>
        </w:rPr>
        <w:tab/>
      </w:r>
      <w:r>
        <w:rPr>
          <w:rStyle w:val="32"/>
          <w:rFonts w:ascii="Times New Roman" w:eastAsia="楷体_GB2312"/>
          <w:b/>
          <w:sz w:val="24"/>
          <w:szCs w:val="24"/>
        </w:rPr>
        <w:t>费用的承担</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_Toc221382860 \h </w:instrText>
      </w:r>
      <w:r>
        <w:rPr>
          <w:rFonts w:ascii="Times New Roman" w:eastAsia="楷体_GB2312"/>
          <w:sz w:val="24"/>
          <w:szCs w:val="24"/>
        </w:rPr>
        <w:fldChar w:fldCharType="separate"/>
      </w:r>
      <w:r>
        <w:rPr>
          <w:rFonts w:ascii="Times New Roman" w:eastAsia="楷体_GB2312"/>
          <w:sz w:val="24"/>
          <w:szCs w:val="24"/>
        </w:rPr>
        <w:t>59</w:t>
      </w:r>
      <w:r>
        <w:rPr>
          <w:rFonts w:ascii="Times New Roman" w:eastAsia="楷体_GB2312"/>
          <w:sz w:val="24"/>
          <w:szCs w:val="24"/>
        </w:rPr>
        <w:fldChar w:fldCharType="end"/>
      </w:r>
      <w:r>
        <w:fldChar w:fldCharType="end"/>
      </w:r>
    </w:p>
    <w:p w14:paraId="360B1C9F">
      <w:pPr>
        <w:pStyle w:val="17"/>
        <w:spacing w:after="78"/>
        <w:rPr>
          <w:rFonts w:ascii="Times New Roman" w:eastAsia="楷体_GB2312"/>
          <w:sz w:val="24"/>
          <w:szCs w:val="24"/>
          <w14:ligatures w14:val="standardContextual"/>
        </w:rPr>
      </w:pPr>
      <w:r>
        <w:fldChar w:fldCharType="begin"/>
      </w:r>
      <w:r>
        <w:instrText xml:space="preserve">HYPERLINK \l "_Toc221382861"</w:instrText>
      </w:r>
      <w:r>
        <w:fldChar w:fldCharType="separate"/>
      </w:r>
      <w:r>
        <w:rPr>
          <w:rStyle w:val="32"/>
          <w:rFonts w:ascii="Times New Roman" w:eastAsia="楷体_GB2312"/>
          <w:b/>
          <w:bCs/>
          <w:sz w:val="24"/>
          <w:szCs w:val="24"/>
        </w:rPr>
        <w:t>17</w:t>
      </w:r>
      <w:r>
        <w:rPr>
          <w:rFonts w:ascii="Times New Roman" w:eastAsia="楷体_GB2312"/>
          <w:sz w:val="24"/>
          <w:szCs w:val="24"/>
          <w14:ligatures w14:val="standardContextual"/>
        </w:rPr>
        <w:tab/>
      </w:r>
      <w:r>
        <w:rPr>
          <w:rStyle w:val="32"/>
          <w:rFonts w:ascii="Times New Roman" w:eastAsia="楷体_GB2312"/>
          <w:b/>
          <w:sz w:val="24"/>
          <w:szCs w:val="24"/>
        </w:rPr>
        <w:t>税负承担</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_Toc221382861 \h </w:instrText>
      </w:r>
      <w:r>
        <w:rPr>
          <w:rFonts w:ascii="Times New Roman" w:eastAsia="楷体_GB2312"/>
          <w:sz w:val="24"/>
          <w:szCs w:val="24"/>
        </w:rPr>
        <w:fldChar w:fldCharType="separate"/>
      </w:r>
      <w:r>
        <w:rPr>
          <w:rFonts w:ascii="Times New Roman" w:eastAsia="楷体_GB2312"/>
          <w:sz w:val="24"/>
          <w:szCs w:val="24"/>
        </w:rPr>
        <w:t>62</w:t>
      </w:r>
      <w:r>
        <w:rPr>
          <w:rFonts w:ascii="Times New Roman" w:eastAsia="楷体_GB2312"/>
          <w:sz w:val="24"/>
          <w:szCs w:val="24"/>
        </w:rPr>
        <w:fldChar w:fldCharType="end"/>
      </w:r>
      <w:r>
        <w:fldChar w:fldCharType="end"/>
      </w:r>
    </w:p>
    <w:p w14:paraId="6355E30A">
      <w:pPr>
        <w:pStyle w:val="17"/>
        <w:spacing w:after="78"/>
        <w:rPr>
          <w:rFonts w:ascii="Times New Roman" w:eastAsia="楷体_GB2312"/>
          <w:sz w:val="24"/>
          <w:szCs w:val="24"/>
          <w14:ligatures w14:val="standardContextual"/>
        </w:rPr>
      </w:pPr>
      <w:r>
        <w:fldChar w:fldCharType="begin"/>
      </w:r>
      <w:r>
        <w:instrText xml:space="preserve">HYPERLINK \l "_Toc221382862"</w:instrText>
      </w:r>
      <w:r>
        <w:fldChar w:fldCharType="separate"/>
      </w:r>
      <w:r>
        <w:rPr>
          <w:rStyle w:val="32"/>
          <w:rFonts w:ascii="Times New Roman" w:eastAsia="楷体_GB2312"/>
          <w:b/>
          <w:bCs/>
          <w:sz w:val="24"/>
          <w:szCs w:val="24"/>
        </w:rPr>
        <w:t>18</w:t>
      </w:r>
      <w:r>
        <w:rPr>
          <w:rFonts w:ascii="Times New Roman" w:eastAsia="楷体_GB2312"/>
          <w:sz w:val="24"/>
          <w:szCs w:val="24"/>
          <w14:ligatures w14:val="standardContextual"/>
        </w:rPr>
        <w:tab/>
      </w:r>
      <w:r>
        <w:rPr>
          <w:rStyle w:val="32"/>
          <w:rFonts w:ascii="Times New Roman" w:eastAsia="楷体_GB2312"/>
          <w:b/>
          <w:sz w:val="24"/>
          <w:szCs w:val="24"/>
        </w:rPr>
        <w:t>资产支持证券持有人大会组成与权利</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_Toc221382862 \h </w:instrText>
      </w:r>
      <w:r>
        <w:rPr>
          <w:rFonts w:ascii="Times New Roman" w:eastAsia="楷体_GB2312"/>
          <w:sz w:val="24"/>
          <w:szCs w:val="24"/>
        </w:rPr>
        <w:fldChar w:fldCharType="separate"/>
      </w:r>
      <w:r>
        <w:rPr>
          <w:rFonts w:ascii="Times New Roman" w:eastAsia="楷体_GB2312"/>
          <w:sz w:val="24"/>
          <w:szCs w:val="24"/>
        </w:rPr>
        <w:t>62</w:t>
      </w:r>
      <w:r>
        <w:rPr>
          <w:rFonts w:ascii="Times New Roman" w:eastAsia="楷体_GB2312"/>
          <w:sz w:val="24"/>
          <w:szCs w:val="24"/>
        </w:rPr>
        <w:fldChar w:fldCharType="end"/>
      </w:r>
      <w:r>
        <w:fldChar w:fldCharType="end"/>
      </w:r>
    </w:p>
    <w:p w14:paraId="70F3EA52">
      <w:pPr>
        <w:pStyle w:val="17"/>
        <w:spacing w:after="78"/>
        <w:rPr>
          <w:rFonts w:ascii="Times New Roman" w:eastAsia="楷体_GB2312"/>
          <w:sz w:val="24"/>
          <w:szCs w:val="24"/>
          <w14:ligatures w14:val="standardContextual"/>
        </w:rPr>
      </w:pPr>
      <w:r>
        <w:fldChar w:fldCharType="begin"/>
      </w:r>
      <w:r>
        <w:instrText xml:space="preserve">HYPERLINK \l "_Toc221382863"</w:instrText>
      </w:r>
      <w:r>
        <w:fldChar w:fldCharType="separate"/>
      </w:r>
      <w:r>
        <w:rPr>
          <w:rStyle w:val="32"/>
          <w:rFonts w:ascii="Times New Roman" w:eastAsia="楷体_GB2312"/>
          <w:b/>
          <w:bCs/>
          <w:sz w:val="24"/>
          <w:szCs w:val="24"/>
        </w:rPr>
        <w:t>19</w:t>
      </w:r>
      <w:r>
        <w:rPr>
          <w:rFonts w:ascii="Times New Roman" w:eastAsia="楷体_GB2312"/>
          <w:sz w:val="24"/>
          <w:szCs w:val="24"/>
          <w14:ligatures w14:val="standardContextual"/>
        </w:rPr>
        <w:tab/>
      </w:r>
      <w:r>
        <w:rPr>
          <w:rStyle w:val="32"/>
          <w:rFonts w:ascii="Times New Roman" w:eastAsia="楷体_GB2312"/>
          <w:b/>
          <w:sz w:val="24"/>
          <w:szCs w:val="24"/>
        </w:rPr>
        <w:t>审计监督和跟踪评级</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_Toc221382863 \h </w:instrText>
      </w:r>
      <w:r>
        <w:rPr>
          <w:rFonts w:ascii="Times New Roman" w:eastAsia="楷体_GB2312"/>
          <w:sz w:val="24"/>
          <w:szCs w:val="24"/>
        </w:rPr>
        <w:fldChar w:fldCharType="separate"/>
      </w:r>
      <w:r>
        <w:rPr>
          <w:rFonts w:ascii="Times New Roman" w:eastAsia="楷体_GB2312"/>
          <w:sz w:val="24"/>
          <w:szCs w:val="24"/>
        </w:rPr>
        <w:t>69</w:t>
      </w:r>
      <w:r>
        <w:rPr>
          <w:rFonts w:ascii="Times New Roman" w:eastAsia="楷体_GB2312"/>
          <w:sz w:val="24"/>
          <w:szCs w:val="24"/>
        </w:rPr>
        <w:fldChar w:fldCharType="end"/>
      </w:r>
      <w:r>
        <w:fldChar w:fldCharType="end"/>
      </w:r>
    </w:p>
    <w:p w14:paraId="58713703">
      <w:pPr>
        <w:pStyle w:val="17"/>
        <w:spacing w:after="78"/>
        <w:rPr>
          <w:rFonts w:ascii="Times New Roman" w:eastAsia="楷体_GB2312"/>
          <w:sz w:val="24"/>
          <w:szCs w:val="24"/>
          <w14:ligatures w14:val="standardContextual"/>
        </w:rPr>
      </w:pPr>
      <w:r>
        <w:fldChar w:fldCharType="begin"/>
      </w:r>
      <w:r>
        <w:instrText xml:space="preserve">HYPERLINK \l "_Toc221382864"</w:instrText>
      </w:r>
      <w:r>
        <w:fldChar w:fldCharType="separate"/>
      </w:r>
      <w:r>
        <w:rPr>
          <w:rStyle w:val="32"/>
          <w:rFonts w:ascii="Times New Roman" w:eastAsia="楷体_GB2312"/>
          <w:b/>
          <w:bCs/>
          <w:sz w:val="24"/>
          <w:szCs w:val="24"/>
        </w:rPr>
        <w:t>20</w:t>
      </w:r>
      <w:r>
        <w:rPr>
          <w:rFonts w:ascii="Times New Roman" w:eastAsia="楷体_GB2312"/>
          <w:sz w:val="24"/>
          <w:szCs w:val="24"/>
          <w14:ligatures w14:val="standardContextual"/>
        </w:rPr>
        <w:tab/>
      </w:r>
      <w:r>
        <w:rPr>
          <w:rStyle w:val="32"/>
          <w:rFonts w:ascii="Times New Roman" w:eastAsia="楷体_GB2312"/>
          <w:b/>
          <w:sz w:val="24"/>
          <w:szCs w:val="24"/>
        </w:rPr>
        <w:t>风险承担</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_Toc221382864 \h </w:instrText>
      </w:r>
      <w:r>
        <w:rPr>
          <w:rFonts w:ascii="Times New Roman" w:eastAsia="楷体_GB2312"/>
          <w:sz w:val="24"/>
          <w:szCs w:val="24"/>
        </w:rPr>
        <w:fldChar w:fldCharType="separate"/>
      </w:r>
      <w:r>
        <w:rPr>
          <w:rFonts w:ascii="Times New Roman" w:eastAsia="楷体_GB2312"/>
          <w:sz w:val="24"/>
          <w:szCs w:val="24"/>
        </w:rPr>
        <w:t>70</w:t>
      </w:r>
      <w:r>
        <w:rPr>
          <w:rFonts w:ascii="Times New Roman" w:eastAsia="楷体_GB2312"/>
          <w:sz w:val="24"/>
          <w:szCs w:val="24"/>
        </w:rPr>
        <w:fldChar w:fldCharType="end"/>
      </w:r>
      <w:r>
        <w:fldChar w:fldCharType="end"/>
      </w:r>
    </w:p>
    <w:p w14:paraId="0A58453C">
      <w:pPr>
        <w:pStyle w:val="17"/>
        <w:spacing w:after="78"/>
        <w:rPr>
          <w:rFonts w:ascii="Times New Roman" w:eastAsia="楷体_GB2312"/>
          <w:sz w:val="24"/>
          <w:szCs w:val="24"/>
          <w14:ligatures w14:val="standardContextual"/>
        </w:rPr>
      </w:pPr>
      <w:r>
        <w:fldChar w:fldCharType="begin"/>
      </w:r>
      <w:r>
        <w:instrText xml:space="preserve">HYPERLINK \l "_Toc221382865"</w:instrText>
      </w:r>
      <w:r>
        <w:fldChar w:fldCharType="separate"/>
      </w:r>
      <w:r>
        <w:rPr>
          <w:rStyle w:val="32"/>
          <w:rFonts w:ascii="Times New Roman" w:eastAsia="楷体_GB2312"/>
          <w:b/>
          <w:bCs/>
          <w:sz w:val="24"/>
          <w:szCs w:val="24"/>
        </w:rPr>
        <w:t>21</w:t>
      </w:r>
      <w:r>
        <w:rPr>
          <w:rFonts w:ascii="Times New Roman" w:eastAsia="楷体_GB2312"/>
          <w:sz w:val="24"/>
          <w:szCs w:val="24"/>
          <w14:ligatures w14:val="standardContextual"/>
        </w:rPr>
        <w:tab/>
      </w:r>
      <w:r>
        <w:rPr>
          <w:rStyle w:val="32"/>
          <w:rFonts w:ascii="Times New Roman" w:eastAsia="楷体_GB2312"/>
          <w:b/>
          <w:sz w:val="24"/>
          <w:szCs w:val="24"/>
        </w:rPr>
        <w:t>信息披露</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_Toc221382865 \h </w:instrText>
      </w:r>
      <w:r>
        <w:rPr>
          <w:rFonts w:ascii="Times New Roman" w:eastAsia="楷体_GB2312"/>
          <w:sz w:val="24"/>
          <w:szCs w:val="24"/>
        </w:rPr>
        <w:fldChar w:fldCharType="separate"/>
      </w:r>
      <w:r>
        <w:rPr>
          <w:rFonts w:ascii="Times New Roman" w:eastAsia="楷体_GB2312"/>
          <w:sz w:val="24"/>
          <w:szCs w:val="24"/>
        </w:rPr>
        <w:t>71</w:t>
      </w:r>
      <w:r>
        <w:rPr>
          <w:rFonts w:ascii="Times New Roman" w:eastAsia="楷体_GB2312"/>
          <w:sz w:val="24"/>
          <w:szCs w:val="24"/>
        </w:rPr>
        <w:fldChar w:fldCharType="end"/>
      </w:r>
      <w:r>
        <w:fldChar w:fldCharType="end"/>
      </w:r>
    </w:p>
    <w:p w14:paraId="7764CBC9">
      <w:pPr>
        <w:pStyle w:val="17"/>
        <w:spacing w:after="78"/>
        <w:rPr>
          <w:rFonts w:ascii="Times New Roman" w:eastAsia="楷体_GB2312"/>
          <w:sz w:val="24"/>
          <w:szCs w:val="24"/>
          <w14:ligatures w14:val="standardContextual"/>
        </w:rPr>
      </w:pPr>
      <w:r>
        <w:fldChar w:fldCharType="begin"/>
      </w:r>
      <w:r>
        <w:instrText xml:space="preserve">HYPERLINK \l "_Toc221382866"</w:instrText>
      </w:r>
      <w:r>
        <w:fldChar w:fldCharType="separate"/>
      </w:r>
      <w:r>
        <w:rPr>
          <w:rStyle w:val="32"/>
          <w:rFonts w:ascii="Times New Roman" w:eastAsia="楷体_GB2312"/>
          <w:b/>
          <w:bCs/>
          <w:sz w:val="24"/>
          <w:szCs w:val="24"/>
        </w:rPr>
        <w:t>22</w:t>
      </w:r>
      <w:r>
        <w:rPr>
          <w:rFonts w:ascii="Times New Roman" w:eastAsia="楷体_GB2312"/>
          <w:sz w:val="24"/>
          <w:szCs w:val="24"/>
          <w14:ligatures w14:val="standardContextual"/>
        </w:rPr>
        <w:tab/>
      </w:r>
      <w:r>
        <w:rPr>
          <w:rStyle w:val="32"/>
          <w:rFonts w:ascii="Times New Roman" w:eastAsia="楷体_GB2312"/>
          <w:b/>
          <w:sz w:val="24"/>
          <w:szCs w:val="24"/>
        </w:rPr>
        <w:t>信托的变更和终止</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_Toc221382866 \h </w:instrText>
      </w:r>
      <w:r>
        <w:rPr>
          <w:rFonts w:ascii="Times New Roman" w:eastAsia="楷体_GB2312"/>
          <w:sz w:val="24"/>
          <w:szCs w:val="24"/>
        </w:rPr>
        <w:fldChar w:fldCharType="separate"/>
      </w:r>
      <w:r>
        <w:rPr>
          <w:rFonts w:ascii="Times New Roman" w:eastAsia="楷体_GB2312"/>
          <w:sz w:val="24"/>
          <w:szCs w:val="24"/>
        </w:rPr>
        <w:t>74</w:t>
      </w:r>
      <w:r>
        <w:rPr>
          <w:rFonts w:ascii="Times New Roman" w:eastAsia="楷体_GB2312"/>
          <w:sz w:val="24"/>
          <w:szCs w:val="24"/>
        </w:rPr>
        <w:fldChar w:fldCharType="end"/>
      </w:r>
      <w:r>
        <w:fldChar w:fldCharType="end"/>
      </w:r>
    </w:p>
    <w:p w14:paraId="70EAD8AD">
      <w:pPr>
        <w:pStyle w:val="17"/>
        <w:spacing w:after="78"/>
        <w:rPr>
          <w:rFonts w:ascii="Times New Roman" w:eastAsia="楷体_GB2312"/>
          <w:sz w:val="24"/>
          <w:szCs w:val="24"/>
          <w14:ligatures w14:val="standardContextual"/>
        </w:rPr>
      </w:pPr>
      <w:r>
        <w:fldChar w:fldCharType="begin"/>
      </w:r>
      <w:r>
        <w:instrText xml:space="preserve">HYPERLINK \l "_Toc221382867"</w:instrText>
      </w:r>
      <w:r>
        <w:fldChar w:fldCharType="separate"/>
      </w:r>
      <w:r>
        <w:rPr>
          <w:rStyle w:val="32"/>
          <w:rFonts w:ascii="Times New Roman" w:eastAsia="楷体_GB2312"/>
          <w:b/>
          <w:bCs/>
          <w:sz w:val="24"/>
          <w:szCs w:val="24"/>
        </w:rPr>
        <w:t>23</w:t>
      </w:r>
      <w:r>
        <w:rPr>
          <w:rFonts w:ascii="Times New Roman" w:eastAsia="楷体_GB2312"/>
          <w:sz w:val="24"/>
          <w:szCs w:val="24"/>
          <w14:ligatures w14:val="standardContextual"/>
        </w:rPr>
        <w:tab/>
      </w:r>
      <w:r>
        <w:rPr>
          <w:rStyle w:val="32"/>
          <w:rFonts w:ascii="Times New Roman" w:eastAsia="楷体_GB2312"/>
          <w:b/>
          <w:sz w:val="24"/>
          <w:szCs w:val="24"/>
        </w:rPr>
        <w:t>信托的清算</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_Toc221382867 \h </w:instrText>
      </w:r>
      <w:r>
        <w:rPr>
          <w:rFonts w:ascii="Times New Roman" w:eastAsia="楷体_GB2312"/>
          <w:sz w:val="24"/>
          <w:szCs w:val="24"/>
        </w:rPr>
        <w:fldChar w:fldCharType="separate"/>
      </w:r>
      <w:r>
        <w:rPr>
          <w:rFonts w:ascii="Times New Roman" w:eastAsia="楷体_GB2312"/>
          <w:sz w:val="24"/>
          <w:szCs w:val="24"/>
        </w:rPr>
        <w:t>75</w:t>
      </w:r>
      <w:r>
        <w:rPr>
          <w:rFonts w:ascii="Times New Roman" w:eastAsia="楷体_GB2312"/>
          <w:sz w:val="24"/>
          <w:szCs w:val="24"/>
        </w:rPr>
        <w:fldChar w:fldCharType="end"/>
      </w:r>
      <w:r>
        <w:fldChar w:fldCharType="end"/>
      </w:r>
    </w:p>
    <w:p w14:paraId="7C874C05">
      <w:pPr>
        <w:pStyle w:val="17"/>
        <w:spacing w:after="78"/>
        <w:rPr>
          <w:rFonts w:ascii="Times New Roman" w:eastAsia="楷体_GB2312"/>
          <w:sz w:val="24"/>
          <w:szCs w:val="24"/>
          <w14:ligatures w14:val="standardContextual"/>
        </w:rPr>
      </w:pPr>
      <w:r>
        <w:fldChar w:fldCharType="begin"/>
      </w:r>
      <w:r>
        <w:instrText xml:space="preserve">HYPERLINK \l "_Toc221382868"</w:instrText>
      </w:r>
      <w:r>
        <w:fldChar w:fldCharType="separate"/>
      </w:r>
      <w:r>
        <w:rPr>
          <w:rStyle w:val="32"/>
          <w:rFonts w:ascii="Times New Roman" w:eastAsia="楷体_GB2312"/>
          <w:b/>
          <w:bCs/>
          <w:sz w:val="24"/>
          <w:szCs w:val="24"/>
        </w:rPr>
        <w:t>24</w:t>
      </w:r>
      <w:r>
        <w:rPr>
          <w:rFonts w:ascii="Times New Roman" w:eastAsia="楷体_GB2312"/>
          <w:sz w:val="24"/>
          <w:szCs w:val="24"/>
          <w14:ligatures w14:val="standardContextual"/>
        </w:rPr>
        <w:tab/>
      </w:r>
      <w:r>
        <w:rPr>
          <w:rStyle w:val="32"/>
          <w:rFonts w:ascii="Times New Roman" w:eastAsia="楷体_GB2312"/>
          <w:b/>
          <w:sz w:val="24"/>
          <w:szCs w:val="24"/>
        </w:rPr>
        <w:t>保密条款</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_Toc221382868 \h </w:instrText>
      </w:r>
      <w:r>
        <w:rPr>
          <w:rFonts w:ascii="Times New Roman" w:eastAsia="楷体_GB2312"/>
          <w:sz w:val="24"/>
          <w:szCs w:val="24"/>
        </w:rPr>
        <w:fldChar w:fldCharType="separate"/>
      </w:r>
      <w:r>
        <w:rPr>
          <w:rFonts w:ascii="Times New Roman" w:eastAsia="楷体_GB2312"/>
          <w:sz w:val="24"/>
          <w:szCs w:val="24"/>
        </w:rPr>
        <w:t>76</w:t>
      </w:r>
      <w:r>
        <w:rPr>
          <w:rFonts w:ascii="Times New Roman" w:eastAsia="楷体_GB2312"/>
          <w:sz w:val="24"/>
          <w:szCs w:val="24"/>
        </w:rPr>
        <w:fldChar w:fldCharType="end"/>
      </w:r>
      <w:r>
        <w:fldChar w:fldCharType="end"/>
      </w:r>
    </w:p>
    <w:p w14:paraId="6D7C60A9">
      <w:pPr>
        <w:pStyle w:val="17"/>
        <w:spacing w:after="78"/>
        <w:rPr>
          <w:rFonts w:ascii="Times New Roman" w:eastAsia="楷体_GB2312"/>
          <w:sz w:val="24"/>
          <w:szCs w:val="24"/>
          <w14:ligatures w14:val="standardContextual"/>
        </w:rPr>
      </w:pPr>
      <w:r>
        <w:fldChar w:fldCharType="begin"/>
      </w:r>
      <w:r>
        <w:instrText xml:space="preserve">HYPERLINK \l "_Toc221382869"</w:instrText>
      </w:r>
      <w:r>
        <w:fldChar w:fldCharType="separate"/>
      </w:r>
      <w:r>
        <w:rPr>
          <w:rStyle w:val="32"/>
          <w:rFonts w:ascii="Times New Roman" w:eastAsia="楷体_GB2312"/>
          <w:b/>
          <w:bCs/>
          <w:sz w:val="24"/>
          <w:szCs w:val="24"/>
        </w:rPr>
        <w:t>25</w:t>
      </w:r>
      <w:r>
        <w:rPr>
          <w:rFonts w:ascii="Times New Roman" w:eastAsia="楷体_GB2312"/>
          <w:sz w:val="24"/>
          <w:szCs w:val="24"/>
          <w14:ligatures w14:val="standardContextual"/>
        </w:rPr>
        <w:tab/>
      </w:r>
      <w:r>
        <w:rPr>
          <w:rStyle w:val="32"/>
          <w:rFonts w:ascii="Times New Roman" w:eastAsia="楷体_GB2312"/>
          <w:b/>
          <w:sz w:val="24"/>
          <w:szCs w:val="24"/>
        </w:rPr>
        <w:t>违约责任</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_Toc221382869 \h </w:instrText>
      </w:r>
      <w:r>
        <w:rPr>
          <w:rFonts w:ascii="Times New Roman" w:eastAsia="楷体_GB2312"/>
          <w:sz w:val="24"/>
          <w:szCs w:val="24"/>
        </w:rPr>
        <w:fldChar w:fldCharType="separate"/>
      </w:r>
      <w:r>
        <w:rPr>
          <w:rFonts w:ascii="Times New Roman" w:eastAsia="楷体_GB2312"/>
          <w:sz w:val="24"/>
          <w:szCs w:val="24"/>
        </w:rPr>
        <w:t>77</w:t>
      </w:r>
      <w:r>
        <w:rPr>
          <w:rFonts w:ascii="Times New Roman" w:eastAsia="楷体_GB2312"/>
          <w:sz w:val="24"/>
          <w:szCs w:val="24"/>
        </w:rPr>
        <w:fldChar w:fldCharType="end"/>
      </w:r>
      <w:r>
        <w:fldChar w:fldCharType="end"/>
      </w:r>
    </w:p>
    <w:p w14:paraId="5795358B">
      <w:pPr>
        <w:pStyle w:val="17"/>
        <w:spacing w:after="78"/>
        <w:rPr>
          <w:rFonts w:ascii="Times New Roman" w:eastAsia="楷体_GB2312"/>
          <w:sz w:val="24"/>
          <w:szCs w:val="24"/>
          <w14:ligatures w14:val="standardContextual"/>
        </w:rPr>
      </w:pPr>
      <w:r>
        <w:fldChar w:fldCharType="begin"/>
      </w:r>
      <w:r>
        <w:instrText xml:space="preserve">HYPERLINK \l "_Toc221382870"</w:instrText>
      </w:r>
      <w:r>
        <w:fldChar w:fldCharType="separate"/>
      </w:r>
      <w:r>
        <w:rPr>
          <w:rStyle w:val="32"/>
          <w:rFonts w:ascii="Times New Roman" w:eastAsia="楷体_GB2312"/>
          <w:b/>
          <w:bCs/>
          <w:sz w:val="24"/>
          <w:szCs w:val="24"/>
        </w:rPr>
        <w:t>26</w:t>
      </w:r>
      <w:r>
        <w:rPr>
          <w:rFonts w:ascii="Times New Roman" w:eastAsia="楷体_GB2312"/>
          <w:sz w:val="24"/>
          <w:szCs w:val="24"/>
          <w14:ligatures w14:val="standardContextual"/>
        </w:rPr>
        <w:tab/>
      </w:r>
      <w:r>
        <w:rPr>
          <w:rStyle w:val="32"/>
          <w:rFonts w:ascii="Times New Roman" w:eastAsia="楷体_GB2312"/>
          <w:b/>
          <w:sz w:val="24"/>
          <w:szCs w:val="24"/>
        </w:rPr>
        <w:t>不可抗力</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_Toc221382870 \h </w:instrText>
      </w:r>
      <w:r>
        <w:rPr>
          <w:rFonts w:ascii="Times New Roman" w:eastAsia="楷体_GB2312"/>
          <w:sz w:val="24"/>
          <w:szCs w:val="24"/>
        </w:rPr>
        <w:fldChar w:fldCharType="separate"/>
      </w:r>
      <w:r>
        <w:rPr>
          <w:rFonts w:ascii="Times New Roman" w:eastAsia="楷体_GB2312"/>
          <w:sz w:val="24"/>
          <w:szCs w:val="24"/>
        </w:rPr>
        <w:t>77</w:t>
      </w:r>
      <w:r>
        <w:rPr>
          <w:rFonts w:ascii="Times New Roman" w:eastAsia="楷体_GB2312"/>
          <w:sz w:val="24"/>
          <w:szCs w:val="24"/>
        </w:rPr>
        <w:fldChar w:fldCharType="end"/>
      </w:r>
      <w:r>
        <w:fldChar w:fldCharType="end"/>
      </w:r>
    </w:p>
    <w:p w14:paraId="123402F8">
      <w:pPr>
        <w:pStyle w:val="17"/>
        <w:spacing w:after="78"/>
        <w:rPr>
          <w:rFonts w:ascii="Times New Roman" w:eastAsia="楷体_GB2312"/>
          <w:sz w:val="24"/>
          <w:szCs w:val="24"/>
          <w14:ligatures w14:val="standardContextual"/>
        </w:rPr>
      </w:pPr>
      <w:r>
        <w:fldChar w:fldCharType="begin"/>
      </w:r>
      <w:r>
        <w:instrText xml:space="preserve">HYPERLINK \l "_Toc221382871"</w:instrText>
      </w:r>
      <w:r>
        <w:fldChar w:fldCharType="separate"/>
      </w:r>
      <w:r>
        <w:rPr>
          <w:rStyle w:val="32"/>
          <w:rFonts w:ascii="Times New Roman" w:eastAsia="楷体_GB2312"/>
          <w:b/>
          <w:bCs/>
          <w:sz w:val="24"/>
          <w:szCs w:val="24"/>
        </w:rPr>
        <w:t>27</w:t>
      </w:r>
      <w:r>
        <w:rPr>
          <w:rFonts w:ascii="Times New Roman" w:eastAsia="楷体_GB2312"/>
          <w:sz w:val="24"/>
          <w:szCs w:val="24"/>
          <w14:ligatures w14:val="standardContextual"/>
        </w:rPr>
        <w:tab/>
      </w:r>
      <w:r>
        <w:rPr>
          <w:rStyle w:val="32"/>
          <w:rFonts w:ascii="Times New Roman" w:eastAsia="楷体_GB2312"/>
          <w:b/>
          <w:sz w:val="24"/>
          <w:szCs w:val="24"/>
        </w:rPr>
        <w:t>法律适用和争议解决</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_Toc221382871 \h </w:instrText>
      </w:r>
      <w:r>
        <w:rPr>
          <w:rFonts w:ascii="Times New Roman" w:eastAsia="楷体_GB2312"/>
          <w:sz w:val="24"/>
          <w:szCs w:val="24"/>
        </w:rPr>
        <w:fldChar w:fldCharType="separate"/>
      </w:r>
      <w:r>
        <w:rPr>
          <w:rFonts w:ascii="Times New Roman" w:eastAsia="楷体_GB2312"/>
          <w:sz w:val="24"/>
          <w:szCs w:val="24"/>
        </w:rPr>
        <w:t>78</w:t>
      </w:r>
      <w:r>
        <w:rPr>
          <w:rFonts w:ascii="Times New Roman" w:eastAsia="楷体_GB2312"/>
          <w:sz w:val="24"/>
          <w:szCs w:val="24"/>
        </w:rPr>
        <w:fldChar w:fldCharType="end"/>
      </w:r>
      <w:r>
        <w:fldChar w:fldCharType="end"/>
      </w:r>
    </w:p>
    <w:p w14:paraId="7062A607">
      <w:pPr>
        <w:pStyle w:val="17"/>
        <w:spacing w:after="78"/>
        <w:rPr>
          <w:rFonts w:ascii="Times New Roman" w:eastAsia="楷体_GB2312"/>
          <w:sz w:val="24"/>
          <w:szCs w:val="24"/>
          <w14:ligatures w14:val="standardContextual"/>
        </w:rPr>
      </w:pPr>
      <w:r>
        <w:fldChar w:fldCharType="begin"/>
      </w:r>
      <w:r>
        <w:instrText xml:space="preserve">HYPERLINK \l "_Toc221382872"</w:instrText>
      </w:r>
      <w:r>
        <w:fldChar w:fldCharType="separate"/>
      </w:r>
      <w:r>
        <w:rPr>
          <w:rStyle w:val="32"/>
          <w:rFonts w:ascii="Times New Roman" w:eastAsia="楷体_GB2312"/>
          <w:b/>
          <w:bCs/>
          <w:sz w:val="24"/>
          <w:szCs w:val="24"/>
        </w:rPr>
        <w:t>28</w:t>
      </w:r>
      <w:r>
        <w:rPr>
          <w:rFonts w:ascii="Times New Roman" w:eastAsia="楷体_GB2312"/>
          <w:sz w:val="24"/>
          <w:szCs w:val="24"/>
          <w14:ligatures w14:val="standardContextual"/>
        </w:rPr>
        <w:tab/>
      </w:r>
      <w:r>
        <w:rPr>
          <w:rStyle w:val="32"/>
          <w:rFonts w:ascii="Times New Roman" w:eastAsia="楷体_GB2312"/>
          <w:b/>
          <w:sz w:val="24"/>
          <w:szCs w:val="24"/>
        </w:rPr>
        <w:t>有限追索和诉讼禁止</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_Toc221382872 \h </w:instrText>
      </w:r>
      <w:r>
        <w:rPr>
          <w:rFonts w:ascii="Times New Roman" w:eastAsia="楷体_GB2312"/>
          <w:sz w:val="24"/>
          <w:szCs w:val="24"/>
        </w:rPr>
        <w:fldChar w:fldCharType="separate"/>
      </w:r>
      <w:r>
        <w:rPr>
          <w:rFonts w:ascii="Times New Roman" w:eastAsia="楷体_GB2312"/>
          <w:sz w:val="24"/>
          <w:szCs w:val="24"/>
        </w:rPr>
        <w:t>78</w:t>
      </w:r>
      <w:r>
        <w:rPr>
          <w:rFonts w:ascii="Times New Roman" w:eastAsia="楷体_GB2312"/>
          <w:sz w:val="24"/>
          <w:szCs w:val="24"/>
        </w:rPr>
        <w:fldChar w:fldCharType="end"/>
      </w:r>
      <w:r>
        <w:fldChar w:fldCharType="end"/>
      </w:r>
    </w:p>
    <w:p w14:paraId="138854C1">
      <w:pPr>
        <w:pStyle w:val="17"/>
        <w:spacing w:after="78"/>
        <w:rPr>
          <w:rFonts w:ascii="Times New Roman" w:eastAsia="楷体_GB2312"/>
          <w:sz w:val="24"/>
          <w:szCs w:val="24"/>
          <w14:ligatures w14:val="standardContextual"/>
        </w:rPr>
      </w:pPr>
      <w:r>
        <w:fldChar w:fldCharType="begin"/>
      </w:r>
      <w:r>
        <w:instrText xml:space="preserve">HYPERLINK \l "_Toc221382873"</w:instrText>
      </w:r>
      <w:r>
        <w:fldChar w:fldCharType="separate"/>
      </w:r>
      <w:r>
        <w:rPr>
          <w:rStyle w:val="32"/>
          <w:rFonts w:ascii="Times New Roman" w:eastAsia="楷体_GB2312"/>
          <w:b/>
          <w:bCs/>
          <w:sz w:val="24"/>
          <w:szCs w:val="24"/>
        </w:rPr>
        <w:t>29</w:t>
      </w:r>
      <w:r>
        <w:rPr>
          <w:rFonts w:ascii="Times New Roman" w:eastAsia="楷体_GB2312"/>
          <w:sz w:val="24"/>
          <w:szCs w:val="24"/>
          <w14:ligatures w14:val="standardContextual"/>
        </w:rPr>
        <w:tab/>
      </w:r>
      <w:r>
        <w:rPr>
          <w:rStyle w:val="32"/>
          <w:rFonts w:ascii="Times New Roman" w:eastAsia="楷体_GB2312"/>
          <w:b/>
          <w:sz w:val="24"/>
          <w:szCs w:val="24"/>
        </w:rPr>
        <w:t>合同的转让</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_Toc221382873 \h </w:instrText>
      </w:r>
      <w:r>
        <w:rPr>
          <w:rFonts w:ascii="Times New Roman" w:eastAsia="楷体_GB2312"/>
          <w:sz w:val="24"/>
          <w:szCs w:val="24"/>
        </w:rPr>
        <w:fldChar w:fldCharType="separate"/>
      </w:r>
      <w:r>
        <w:rPr>
          <w:rFonts w:ascii="Times New Roman" w:eastAsia="楷体_GB2312"/>
          <w:sz w:val="24"/>
          <w:szCs w:val="24"/>
        </w:rPr>
        <w:t>79</w:t>
      </w:r>
      <w:r>
        <w:rPr>
          <w:rFonts w:ascii="Times New Roman" w:eastAsia="楷体_GB2312"/>
          <w:sz w:val="24"/>
          <w:szCs w:val="24"/>
        </w:rPr>
        <w:fldChar w:fldCharType="end"/>
      </w:r>
      <w:r>
        <w:fldChar w:fldCharType="end"/>
      </w:r>
    </w:p>
    <w:p w14:paraId="70282D7A">
      <w:pPr>
        <w:pStyle w:val="17"/>
        <w:spacing w:after="78"/>
        <w:rPr>
          <w:rFonts w:ascii="Times New Roman" w:eastAsia="楷体_GB2312"/>
          <w:sz w:val="24"/>
          <w:szCs w:val="24"/>
          <w14:ligatures w14:val="standardContextual"/>
        </w:rPr>
      </w:pPr>
      <w:r>
        <w:fldChar w:fldCharType="begin"/>
      </w:r>
      <w:r>
        <w:instrText xml:space="preserve">HYPERLINK \l "_Toc221382874"</w:instrText>
      </w:r>
      <w:r>
        <w:fldChar w:fldCharType="separate"/>
      </w:r>
      <w:r>
        <w:rPr>
          <w:rStyle w:val="32"/>
          <w:rFonts w:ascii="Times New Roman" w:eastAsia="楷体_GB2312"/>
          <w:b/>
          <w:bCs/>
          <w:sz w:val="24"/>
          <w:szCs w:val="24"/>
        </w:rPr>
        <w:t>30</w:t>
      </w:r>
      <w:r>
        <w:rPr>
          <w:rFonts w:ascii="Times New Roman" w:eastAsia="楷体_GB2312"/>
          <w:sz w:val="24"/>
          <w:szCs w:val="24"/>
          <w14:ligatures w14:val="standardContextual"/>
        </w:rPr>
        <w:tab/>
      </w:r>
      <w:r>
        <w:rPr>
          <w:rStyle w:val="32"/>
          <w:rFonts w:ascii="Times New Roman" w:eastAsia="楷体_GB2312"/>
          <w:b/>
          <w:sz w:val="24"/>
          <w:szCs w:val="24"/>
        </w:rPr>
        <w:t>通知和送达</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_Toc221382874 \h </w:instrText>
      </w:r>
      <w:r>
        <w:rPr>
          <w:rFonts w:ascii="Times New Roman" w:eastAsia="楷体_GB2312"/>
          <w:sz w:val="24"/>
          <w:szCs w:val="24"/>
        </w:rPr>
        <w:fldChar w:fldCharType="separate"/>
      </w:r>
      <w:r>
        <w:rPr>
          <w:rFonts w:ascii="Times New Roman" w:eastAsia="楷体_GB2312"/>
          <w:sz w:val="24"/>
          <w:szCs w:val="24"/>
        </w:rPr>
        <w:t>79</w:t>
      </w:r>
      <w:r>
        <w:rPr>
          <w:rFonts w:ascii="Times New Roman" w:eastAsia="楷体_GB2312"/>
          <w:sz w:val="24"/>
          <w:szCs w:val="24"/>
        </w:rPr>
        <w:fldChar w:fldCharType="end"/>
      </w:r>
      <w:r>
        <w:fldChar w:fldCharType="end"/>
      </w:r>
    </w:p>
    <w:p w14:paraId="50659875">
      <w:pPr>
        <w:pStyle w:val="17"/>
        <w:spacing w:after="78"/>
        <w:rPr>
          <w:rFonts w:ascii="Times New Roman" w:eastAsia="楷体_GB2312"/>
          <w:sz w:val="24"/>
          <w:szCs w:val="24"/>
          <w14:ligatures w14:val="standardContextual"/>
        </w:rPr>
      </w:pPr>
      <w:r>
        <w:fldChar w:fldCharType="begin"/>
      </w:r>
      <w:r>
        <w:instrText xml:space="preserve">HYPERLINK \l "_Toc221382875"</w:instrText>
      </w:r>
      <w:r>
        <w:fldChar w:fldCharType="separate"/>
      </w:r>
      <w:r>
        <w:rPr>
          <w:rStyle w:val="32"/>
          <w:rFonts w:ascii="Times New Roman" w:eastAsia="楷体_GB2312"/>
          <w:b/>
          <w:bCs/>
          <w:sz w:val="24"/>
          <w:szCs w:val="24"/>
        </w:rPr>
        <w:t>31</w:t>
      </w:r>
      <w:r>
        <w:rPr>
          <w:rFonts w:ascii="Times New Roman" w:eastAsia="楷体_GB2312"/>
          <w:sz w:val="24"/>
          <w:szCs w:val="24"/>
          <w14:ligatures w14:val="standardContextual"/>
        </w:rPr>
        <w:tab/>
      </w:r>
      <w:r>
        <w:rPr>
          <w:rStyle w:val="32"/>
          <w:rFonts w:ascii="Times New Roman" w:eastAsia="楷体_GB2312"/>
          <w:b/>
          <w:sz w:val="24"/>
          <w:szCs w:val="24"/>
        </w:rPr>
        <w:t>需要载明的其他事项</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_Toc221382875 \h </w:instrText>
      </w:r>
      <w:r>
        <w:rPr>
          <w:rFonts w:ascii="Times New Roman" w:eastAsia="楷体_GB2312"/>
          <w:sz w:val="24"/>
          <w:szCs w:val="24"/>
        </w:rPr>
        <w:fldChar w:fldCharType="separate"/>
      </w:r>
      <w:r>
        <w:rPr>
          <w:rFonts w:ascii="Times New Roman" w:eastAsia="楷体_GB2312"/>
          <w:sz w:val="24"/>
          <w:szCs w:val="24"/>
        </w:rPr>
        <w:t>81</w:t>
      </w:r>
      <w:r>
        <w:rPr>
          <w:rFonts w:ascii="Times New Roman" w:eastAsia="楷体_GB2312"/>
          <w:sz w:val="24"/>
          <w:szCs w:val="24"/>
        </w:rPr>
        <w:fldChar w:fldCharType="end"/>
      </w:r>
      <w:r>
        <w:fldChar w:fldCharType="end"/>
      </w:r>
    </w:p>
    <w:p w14:paraId="64969326">
      <w:pPr>
        <w:pStyle w:val="17"/>
        <w:spacing w:after="78"/>
        <w:rPr>
          <w:rFonts w:ascii="Times New Roman" w:eastAsia="楷体_GB2312"/>
          <w:sz w:val="24"/>
          <w:szCs w:val="24"/>
          <w14:ligatures w14:val="standardContextual"/>
        </w:rPr>
      </w:pPr>
      <w:r>
        <w:fldChar w:fldCharType="begin"/>
      </w:r>
      <w:r>
        <w:instrText xml:space="preserve">HYPERLINK \l "_Toc221382876"</w:instrText>
      </w:r>
      <w:r>
        <w:fldChar w:fldCharType="separate"/>
      </w:r>
      <w:r>
        <w:rPr>
          <w:rStyle w:val="32"/>
          <w:rFonts w:ascii="Times New Roman" w:eastAsia="楷体_GB2312"/>
          <w:b/>
          <w:sz w:val="24"/>
          <w:szCs w:val="24"/>
        </w:rPr>
        <w:t>附件一：信贷资产清单格式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_Toc221382876 \h </w:instrText>
      </w:r>
      <w:r>
        <w:rPr>
          <w:rFonts w:ascii="Times New Roman" w:eastAsia="楷体_GB2312"/>
          <w:sz w:val="24"/>
          <w:szCs w:val="24"/>
        </w:rPr>
        <w:fldChar w:fldCharType="separate"/>
      </w:r>
      <w:r>
        <w:rPr>
          <w:rFonts w:ascii="Times New Roman" w:eastAsia="楷体_GB2312"/>
          <w:sz w:val="24"/>
          <w:szCs w:val="24"/>
        </w:rPr>
        <w:t>85</w:t>
      </w:r>
      <w:r>
        <w:rPr>
          <w:rFonts w:ascii="Times New Roman" w:eastAsia="楷体_GB2312"/>
          <w:sz w:val="24"/>
          <w:szCs w:val="24"/>
        </w:rPr>
        <w:fldChar w:fldCharType="end"/>
      </w:r>
      <w:r>
        <w:fldChar w:fldCharType="end"/>
      </w:r>
    </w:p>
    <w:p w14:paraId="7F98000D">
      <w:pPr>
        <w:pStyle w:val="17"/>
        <w:spacing w:after="78"/>
        <w:rPr>
          <w:rFonts w:ascii="Times New Roman" w:eastAsia="楷体_GB2312"/>
          <w:sz w:val="24"/>
          <w:szCs w:val="24"/>
          <w14:ligatures w14:val="standardContextual"/>
        </w:rPr>
      </w:pPr>
      <w:r>
        <w:fldChar w:fldCharType="begin"/>
      </w:r>
      <w:r>
        <w:instrText xml:space="preserve">HYPERLINK \l "_Toc221382877"</w:instrText>
      </w:r>
      <w:r>
        <w:fldChar w:fldCharType="separate"/>
      </w:r>
      <w:r>
        <w:rPr>
          <w:rStyle w:val="32"/>
          <w:rFonts w:ascii="Times New Roman" w:eastAsia="楷体_GB2312"/>
          <w:b/>
          <w:sz w:val="24"/>
          <w:szCs w:val="24"/>
        </w:rPr>
        <w:t>附件二：确认函格式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_Toc221382877 \h </w:instrText>
      </w:r>
      <w:r>
        <w:rPr>
          <w:rFonts w:ascii="Times New Roman" w:eastAsia="楷体_GB2312"/>
          <w:sz w:val="24"/>
          <w:szCs w:val="24"/>
        </w:rPr>
        <w:fldChar w:fldCharType="separate"/>
      </w:r>
      <w:r>
        <w:rPr>
          <w:rFonts w:ascii="Times New Roman" w:eastAsia="楷体_GB2312"/>
          <w:sz w:val="24"/>
          <w:szCs w:val="24"/>
        </w:rPr>
        <w:t>86</w:t>
      </w:r>
      <w:r>
        <w:rPr>
          <w:rFonts w:ascii="Times New Roman" w:eastAsia="楷体_GB2312"/>
          <w:sz w:val="24"/>
          <w:szCs w:val="24"/>
        </w:rPr>
        <w:fldChar w:fldCharType="end"/>
      </w:r>
      <w:r>
        <w:fldChar w:fldCharType="end"/>
      </w:r>
    </w:p>
    <w:p w14:paraId="0546FE78">
      <w:pPr>
        <w:pStyle w:val="17"/>
        <w:spacing w:after="78"/>
        <w:rPr>
          <w:rFonts w:ascii="Times New Roman" w:eastAsia="楷体_GB2312"/>
          <w:sz w:val="24"/>
          <w:szCs w:val="24"/>
          <w14:ligatures w14:val="standardContextual"/>
        </w:rPr>
      </w:pPr>
      <w:r>
        <w:fldChar w:fldCharType="begin"/>
      </w:r>
      <w:r>
        <w:instrText xml:space="preserve">HYPERLINK \l "_Toc221382878"</w:instrText>
      </w:r>
      <w:r>
        <w:fldChar w:fldCharType="separate"/>
      </w:r>
      <w:r>
        <w:rPr>
          <w:rStyle w:val="32"/>
          <w:rFonts w:ascii="Times New Roman" w:eastAsia="楷体_GB2312"/>
          <w:b/>
          <w:sz w:val="24"/>
          <w:szCs w:val="24"/>
        </w:rPr>
        <w:t>附件三：权利完善通知的格式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_Toc221382878 \h </w:instrText>
      </w:r>
      <w:r>
        <w:rPr>
          <w:rFonts w:ascii="Times New Roman" w:eastAsia="楷体_GB2312"/>
          <w:sz w:val="24"/>
          <w:szCs w:val="24"/>
        </w:rPr>
        <w:fldChar w:fldCharType="separate"/>
      </w:r>
      <w:r>
        <w:rPr>
          <w:rFonts w:ascii="Times New Roman" w:eastAsia="楷体_GB2312"/>
          <w:sz w:val="24"/>
          <w:szCs w:val="24"/>
        </w:rPr>
        <w:t>87</w:t>
      </w:r>
      <w:r>
        <w:rPr>
          <w:rFonts w:ascii="Times New Roman" w:eastAsia="楷体_GB2312"/>
          <w:sz w:val="24"/>
          <w:szCs w:val="24"/>
        </w:rPr>
        <w:fldChar w:fldCharType="end"/>
      </w:r>
      <w:r>
        <w:fldChar w:fldCharType="end"/>
      </w:r>
    </w:p>
    <w:p w14:paraId="0F9CEBEE">
      <w:pPr>
        <w:pStyle w:val="17"/>
        <w:spacing w:after="78"/>
        <w:rPr>
          <w:rFonts w:ascii="Times New Roman" w:eastAsia="楷体_GB2312"/>
          <w:sz w:val="24"/>
          <w:szCs w:val="24"/>
          <w14:ligatures w14:val="standardContextual"/>
        </w:rPr>
      </w:pPr>
      <w:r>
        <w:fldChar w:fldCharType="begin"/>
      </w:r>
      <w:r>
        <w:instrText xml:space="preserve">HYPERLINK \l "_Toc221382879"</w:instrText>
      </w:r>
      <w:r>
        <w:fldChar w:fldCharType="separate"/>
      </w:r>
      <w:r>
        <w:rPr>
          <w:rStyle w:val="32"/>
          <w:rFonts w:ascii="Times New Roman" w:eastAsia="楷体_GB2312"/>
          <w:b/>
          <w:sz w:val="24"/>
          <w:szCs w:val="24"/>
        </w:rPr>
        <w:t>附件四：授权书的格式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_Toc221382879 \h </w:instrText>
      </w:r>
      <w:r>
        <w:rPr>
          <w:rFonts w:ascii="Times New Roman" w:eastAsia="楷体_GB2312"/>
          <w:sz w:val="24"/>
          <w:szCs w:val="24"/>
        </w:rPr>
        <w:fldChar w:fldCharType="separate"/>
      </w:r>
      <w:r>
        <w:rPr>
          <w:rFonts w:ascii="Times New Roman" w:eastAsia="楷体_GB2312"/>
          <w:sz w:val="24"/>
          <w:szCs w:val="24"/>
        </w:rPr>
        <w:t>91</w:t>
      </w:r>
      <w:r>
        <w:rPr>
          <w:rFonts w:ascii="Times New Roman" w:eastAsia="楷体_GB2312"/>
          <w:sz w:val="24"/>
          <w:szCs w:val="24"/>
        </w:rPr>
        <w:fldChar w:fldCharType="end"/>
      </w:r>
      <w:r>
        <w:fldChar w:fldCharType="end"/>
      </w:r>
    </w:p>
    <w:p w14:paraId="1213D4FE">
      <w:pPr>
        <w:pStyle w:val="17"/>
        <w:spacing w:after="78"/>
        <w:rPr>
          <w:rFonts w:ascii="Times New Roman" w:eastAsia="楷体_GB2312"/>
          <w:sz w:val="24"/>
          <w:szCs w:val="24"/>
          <w14:ligatures w14:val="standardContextual"/>
        </w:rPr>
      </w:pPr>
      <w:r>
        <w:fldChar w:fldCharType="begin"/>
      </w:r>
      <w:r>
        <w:instrText xml:space="preserve">HYPERLINK \l "_Toc221382880"</w:instrText>
      </w:r>
      <w:r>
        <w:fldChar w:fldCharType="separate"/>
      </w:r>
      <w:r>
        <w:rPr>
          <w:rStyle w:val="32"/>
          <w:rFonts w:ascii="Times New Roman" w:eastAsia="楷体_GB2312"/>
          <w:b/>
          <w:sz w:val="24"/>
          <w:szCs w:val="24"/>
        </w:rPr>
        <w:t>附件五：资产支持证券本金还款金额计算方式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_Toc221382880 \h </w:instrText>
      </w:r>
      <w:r>
        <w:rPr>
          <w:rFonts w:ascii="Times New Roman" w:eastAsia="楷体_GB2312"/>
          <w:sz w:val="24"/>
          <w:szCs w:val="24"/>
        </w:rPr>
        <w:fldChar w:fldCharType="separate"/>
      </w:r>
      <w:r>
        <w:rPr>
          <w:rFonts w:ascii="Times New Roman" w:eastAsia="楷体_GB2312"/>
          <w:sz w:val="24"/>
          <w:szCs w:val="24"/>
        </w:rPr>
        <w:t>92</w:t>
      </w:r>
      <w:r>
        <w:rPr>
          <w:rFonts w:ascii="Times New Roman" w:eastAsia="楷体_GB2312"/>
          <w:sz w:val="24"/>
          <w:szCs w:val="24"/>
        </w:rPr>
        <w:fldChar w:fldCharType="end"/>
      </w:r>
      <w:r>
        <w:fldChar w:fldCharType="end"/>
      </w:r>
    </w:p>
    <w:p w14:paraId="1DDECB59">
      <w:pPr>
        <w:pStyle w:val="17"/>
        <w:spacing w:after="78"/>
        <w:rPr>
          <w:rFonts w:ascii="Times New Roman" w:eastAsia="楷体_GB2312"/>
          <w:sz w:val="24"/>
          <w:szCs w:val="24"/>
          <w14:ligatures w14:val="standardContextual"/>
        </w:rPr>
      </w:pPr>
      <w:r>
        <w:fldChar w:fldCharType="begin"/>
      </w:r>
      <w:r>
        <w:instrText xml:space="preserve">HYPERLINK \l "_Toc221382881"</w:instrText>
      </w:r>
      <w:r>
        <w:fldChar w:fldCharType="separate"/>
      </w:r>
      <w:r>
        <w:rPr>
          <w:rStyle w:val="32"/>
          <w:rFonts w:ascii="Times New Roman" w:eastAsia="楷体_GB2312"/>
          <w:b/>
          <w:sz w:val="24"/>
          <w:szCs w:val="24"/>
        </w:rPr>
        <w:t>附件六：清仓回购通知格式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_Toc221382881 \h </w:instrText>
      </w:r>
      <w:r>
        <w:rPr>
          <w:rFonts w:ascii="Times New Roman" w:eastAsia="楷体_GB2312"/>
          <w:sz w:val="24"/>
          <w:szCs w:val="24"/>
        </w:rPr>
        <w:fldChar w:fldCharType="separate"/>
      </w:r>
      <w:r>
        <w:rPr>
          <w:rFonts w:ascii="Times New Roman" w:eastAsia="楷体_GB2312"/>
          <w:sz w:val="24"/>
          <w:szCs w:val="24"/>
        </w:rPr>
        <w:t>95</w:t>
      </w:r>
      <w:r>
        <w:rPr>
          <w:rFonts w:ascii="Times New Roman" w:eastAsia="楷体_GB2312"/>
          <w:sz w:val="24"/>
          <w:szCs w:val="24"/>
        </w:rPr>
        <w:fldChar w:fldCharType="end"/>
      </w:r>
      <w:r>
        <w:fldChar w:fldCharType="end"/>
      </w:r>
    </w:p>
    <w:p w14:paraId="072BDC38">
      <w:pPr>
        <w:pStyle w:val="17"/>
        <w:spacing w:after="78"/>
        <w:rPr>
          <w:rFonts w:ascii="Times New Roman" w:eastAsia="楷体_GB2312"/>
          <w:sz w:val="24"/>
          <w:szCs w:val="24"/>
          <w14:ligatures w14:val="standardContextual"/>
        </w:rPr>
      </w:pPr>
      <w:r>
        <w:fldChar w:fldCharType="begin"/>
      </w:r>
      <w:r>
        <w:instrText xml:space="preserve">HYPERLINK \l "_Toc221382882"</w:instrText>
      </w:r>
      <w:r>
        <w:fldChar w:fldCharType="separate"/>
      </w:r>
      <w:r>
        <w:rPr>
          <w:rStyle w:val="32"/>
          <w:rFonts w:ascii="Times New Roman" w:eastAsia="楷体_GB2312"/>
          <w:b/>
          <w:sz w:val="24"/>
          <w:szCs w:val="24"/>
        </w:rPr>
        <w:t>附件七：清仓回购要约通知格式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_Toc221382882 \h </w:instrText>
      </w:r>
      <w:r>
        <w:rPr>
          <w:rFonts w:ascii="Times New Roman" w:eastAsia="楷体_GB2312"/>
          <w:sz w:val="24"/>
          <w:szCs w:val="24"/>
        </w:rPr>
        <w:fldChar w:fldCharType="separate"/>
      </w:r>
      <w:r>
        <w:rPr>
          <w:rFonts w:ascii="Times New Roman" w:eastAsia="楷体_GB2312"/>
          <w:sz w:val="24"/>
          <w:szCs w:val="24"/>
        </w:rPr>
        <w:t>96</w:t>
      </w:r>
      <w:r>
        <w:rPr>
          <w:rFonts w:ascii="Times New Roman" w:eastAsia="楷体_GB2312"/>
          <w:sz w:val="24"/>
          <w:szCs w:val="24"/>
        </w:rPr>
        <w:fldChar w:fldCharType="end"/>
      </w:r>
      <w:r>
        <w:fldChar w:fldCharType="end"/>
      </w:r>
    </w:p>
    <w:p w14:paraId="38ABFD60">
      <w:pPr>
        <w:pStyle w:val="17"/>
        <w:spacing w:after="78"/>
        <w:rPr>
          <w:rFonts w:ascii="Times New Roman" w:eastAsia="楷体_GB2312"/>
          <w:sz w:val="24"/>
          <w:szCs w:val="24"/>
          <w14:ligatures w14:val="standardContextual"/>
        </w:rPr>
      </w:pPr>
      <w:r>
        <w:fldChar w:fldCharType="begin"/>
      </w:r>
      <w:r>
        <w:instrText xml:space="preserve">HYPERLINK \l "_Toc221382883"</w:instrText>
      </w:r>
      <w:r>
        <w:fldChar w:fldCharType="separate"/>
      </w:r>
      <w:r>
        <w:rPr>
          <w:rStyle w:val="32"/>
          <w:rFonts w:ascii="Times New Roman" w:eastAsia="楷体_GB2312"/>
          <w:b/>
          <w:sz w:val="24"/>
          <w:szCs w:val="24"/>
        </w:rPr>
        <w:t>附件八：清仓回购承诺通知格式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_Toc221382883 \h </w:instrText>
      </w:r>
      <w:r>
        <w:rPr>
          <w:rFonts w:ascii="Times New Roman" w:eastAsia="楷体_GB2312"/>
          <w:sz w:val="24"/>
          <w:szCs w:val="24"/>
        </w:rPr>
        <w:fldChar w:fldCharType="separate"/>
      </w:r>
      <w:r>
        <w:rPr>
          <w:rFonts w:ascii="Times New Roman" w:eastAsia="楷体_GB2312"/>
          <w:sz w:val="24"/>
          <w:szCs w:val="24"/>
        </w:rPr>
        <w:t>97</w:t>
      </w:r>
      <w:r>
        <w:rPr>
          <w:rFonts w:ascii="Times New Roman" w:eastAsia="楷体_GB2312"/>
          <w:sz w:val="24"/>
          <w:szCs w:val="24"/>
        </w:rPr>
        <w:fldChar w:fldCharType="end"/>
      </w:r>
      <w:r>
        <w:fldChar w:fldCharType="end"/>
      </w:r>
    </w:p>
    <w:p w14:paraId="39242C15">
      <w:pPr>
        <w:pStyle w:val="17"/>
        <w:spacing w:after="78"/>
        <w:rPr>
          <w:rFonts w:ascii="Times New Roman" w:eastAsia="楷体_GB2312"/>
          <w:sz w:val="24"/>
          <w:szCs w:val="24"/>
          <w14:ligatures w14:val="standardContextual"/>
        </w:rPr>
      </w:pPr>
      <w:r>
        <w:fldChar w:fldCharType="begin"/>
      </w:r>
      <w:r>
        <w:instrText xml:space="preserve">HYPERLINK \l "_Toc221382884"</w:instrText>
      </w:r>
      <w:r>
        <w:fldChar w:fldCharType="separate"/>
      </w:r>
      <w:r>
        <w:rPr>
          <w:rStyle w:val="32"/>
          <w:rFonts w:ascii="Times New Roman" w:eastAsia="楷体_GB2312"/>
          <w:b/>
          <w:sz w:val="24"/>
          <w:szCs w:val="24"/>
        </w:rPr>
        <w:t>附件九：信托会计处理的原则和方式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_Toc221382884 \h </w:instrText>
      </w:r>
      <w:r>
        <w:rPr>
          <w:rFonts w:ascii="Times New Roman" w:eastAsia="楷体_GB2312"/>
          <w:sz w:val="24"/>
          <w:szCs w:val="24"/>
        </w:rPr>
        <w:fldChar w:fldCharType="separate"/>
      </w:r>
      <w:r>
        <w:rPr>
          <w:rFonts w:ascii="Times New Roman" w:eastAsia="楷体_GB2312"/>
          <w:sz w:val="24"/>
          <w:szCs w:val="24"/>
        </w:rPr>
        <w:t>98</w:t>
      </w:r>
      <w:r>
        <w:rPr>
          <w:rFonts w:ascii="Times New Roman" w:eastAsia="楷体_GB2312"/>
          <w:sz w:val="24"/>
          <w:szCs w:val="24"/>
        </w:rPr>
        <w:fldChar w:fldCharType="end"/>
      </w:r>
      <w:r>
        <w:fldChar w:fldCharType="end"/>
      </w:r>
    </w:p>
    <w:p w14:paraId="3BBC0429">
      <w:pPr>
        <w:pStyle w:val="17"/>
        <w:spacing w:after="78"/>
        <w:rPr>
          <w:rFonts w:ascii="Times New Roman" w:eastAsia="楷体_GB2312"/>
          <w:sz w:val="24"/>
          <w:szCs w:val="24"/>
          <w14:ligatures w14:val="standardContextual"/>
        </w:rPr>
      </w:pPr>
      <w:r>
        <w:fldChar w:fldCharType="begin"/>
      </w:r>
      <w:r>
        <w:instrText xml:space="preserve">HYPERLINK \l "_Toc221382885"</w:instrText>
      </w:r>
      <w:r>
        <w:fldChar w:fldCharType="separate"/>
      </w:r>
      <w:r>
        <w:rPr>
          <w:rStyle w:val="32"/>
          <w:rFonts w:ascii="Times New Roman" w:eastAsia="楷体_GB2312"/>
          <w:b/>
          <w:sz w:val="24"/>
          <w:szCs w:val="24"/>
        </w:rPr>
        <w:t>附件十：受托机构报告格式</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_Toc221382885 \h </w:instrText>
      </w:r>
      <w:r>
        <w:rPr>
          <w:rFonts w:ascii="Times New Roman" w:eastAsia="楷体_GB2312"/>
          <w:sz w:val="24"/>
          <w:szCs w:val="24"/>
        </w:rPr>
        <w:fldChar w:fldCharType="separate"/>
      </w:r>
      <w:r>
        <w:rPr>
          <w:rFonts w:ascii="Times New Roman" w:eastAsia="楷体_GB2312"/>
          <w:sz w:val="24"/>
          <w:szCs w:val="24"/>
        </w:rPr>
        <w:t>100</w:t>
      </w:r>
      <w:r>
        <w:rPr>
          <w:rFonts w:ascii="Times New Roman" w:eastAsia="楷体_GB2312"/>
          <w:sz w:val="24"/>
          <w:szCs w:val="24"/>
        </w:rPr>
        <w:fldChar w:fldCharType="end"/>
      </w:r>
      <w:r>
        <w:fldChar w:fldCharType="end"/>
      </w:r>
    </w:p>
    <w:p w14:paraId="36F86D44">
      <w:pPr>
        <w:pStyle w:val="17"/>
        <w:spacing w:after="78"/>
        <w:rPr>
          <w:rFonts w:ascii="Times New Roman" w:eastAsia="楷体_GB2312"/>
          <w:sz w:val="24"/>
          <w:szCs w:val="24"/>
          <w14:ligatures w14:val="standardContextual"/>
        </w:rPr>
      </w:pPr>
      <w:r>
        <w:fldChar w:fldCharType="begin"/>
      </w:r>
      <w:r>
        <w:instrText xml:space="preserve">HYPERLINK \l "_Toc221382886"</w:instrText>
      </w:r>
      <w:r>
        <w:fldChar w:fldCharType="separate"/>
      </w:r>
      <w:r>
        <w:rPr>
          <w:rStyle w:val="32"/>
          <w:rFonts w:ascii="Times New Roman" w:eastAsia="楷体_GB2312"/>
          <w:b/>
          <w:sz w:val="24"/>
          <w:szCs w:val="24"/>
        </w:rPr>
        <w:t>附件十一：重大事件报告书</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_Toc221382886 \h </w:instrText>
      </w:r>
      <w:r>
        <w:rPr>
          <w:rFonts w:ascii="Times New Roman" w:eastAsia="楷体_GB2312"/>
          <w:sz w:val="24"/>
          <w:szCs w:val="24"/>
        </w:rPr>
        <w:fldChar w:fldCharType="separate"/>
      </w:r>
      <w:r>
        <w:rPr>
          <w:rFonts w:ascii="Times New Roman" w:eastAsia="楷体_GB2312"/>
          <w:sz w:val="24"/>
          <w:szCs w:val="24"/>
        </w:rPr>
        <w:t>121</w:t>
      </w:r>
      <w:r>
        <w:rPr>
          <w:rFonts w:ascii="Times New Roman" w:eastAsia="楷体_GB2312"/>
          <w:sz w:val="24"/>
          <w:szCs w:val="24"/>
        </w:rPr>
        <w:fldChar w:fldCharType="end"/>
      </w:r>
      <w:r>
        <w:fldChar w:fldCharType="end"/>
      </w:r>
    </w:p>
    <w:p w14:paraId="73849168">
      <w:pPr>
        <w:pStyle w:val="17"/>
        <w:spacing w:after="78"/>
        <w:rPr>
          <w:rFonts w:ascii="Times New Roman" w:eastAsia="楷体_GB2312"/>
          <w:sz w:val="24"/>
          <w:szCs w:val="24"/>
          <w14:ligatures w14:val="standardContextual"/>
        </w:rPr>
      </w:pPr>
      <w:r>
        <w:fldChar w:fldCharType="begin"/>
      </w:r>
      <w:r>
        <w:instrText xml:space="preserve">HYPERLINK \l "_Toc221382887"</w:instrText>
      </w:r>
      <w:r>
        <w:fldChar w:fldCharType="separate"/>
      </w:r>
      <w:r>
        <w:rPr>
          <w:rStyle w:val="32"/>
          <w:rFonts w:ascii="Times New Roman" w:eastAsia="楷体_GB2312"/>
          <w:b/>
          <w:sz w:val="24"/>
          <w:szCs w:val="24"/>
        </w:rPr>
        <w:t>附件十二：受托机构收费函</w:t>
      </w:r>
      <w:r>
        <w:rPr>
          <w:rFonts w:ascii="Times New Roman" w:eastAsia="楷体_GB2312"/>
          <w:sz w:val="24"/>
          <w:szCs w:val="24"/>
        </w:rPr>
        <w:tab/>
      </w:r>
      <w:r>
        <w:rPr>
          <w:rFonts w:ascii="Times New Roman" w:eastAsia="楷体_GB2312"/>
          <w:sz w:val="24"/>
          <w:szCs w:val="24"/>
        </w:rPr>
        <w:fldChar w:fldCharType="begin"/>
      </w:r>
      <w:r>
        <w:rPr>
          <w:rFonts w:ascii="Times New Roman" w:eastAsia="楷体_GB2312"/>
          <w:sz w:val="24"/>
          <w:szCs w:val="24"/>
        </w:rPr>
        <w:instrText xml:space="preserve"> PAGEREF _Toc221382887 \h </w:instrText>
      </w:r>
      <w:r>
        <w:rPr>
          <w:rFonts w:ascii="Times New Roman" w:eastAsia="楷体_GB2312"/>
          <w:sz w:val="24"/>
          <w:szCs w:val="24"/>
        </w:rPr>
        <w:fldChar w:fldCharType="separate"/>
      </w:r>
      <w:r>
        <w:rPr>
          <w:rFonts w:ascii="Times New Roman" w:eastAsia="楷体_GB2312"/>
          <w:sz w:val="24"/>
          <w:szCs w:val="24"/>
        </w:rPr>
        <w:t>123</w:t>
      </w:r>
      <w:r>
        <w:rPr>
          <w:rFonts w:ascii="Times New Roman" w:eastAsia="楷体_GB2312"/>
          <w:sz w:val="24"/>
          <w:szCs w:val="24"/>
        </w:rPr>
        <w:fldChar w:fldCharType="end"/>
      </w:r>
      <w:r>
        <w:fldChar w:fldCharType="end"/>
      </w:r>
    </w:p>
    <w:p w14:paraId="3FCB3C77">
      <w:pPr>
        <w:pStyle w:val="36"/>
        <w:spacing w:line="300" w:lineRule="exact"/>
        <w:ind w:right="792" w:rightChars="377" w:firstLine="482"/>
        <w:jc w:val="center"/>
        <w:rPr>
          <w:rFonts w:ascii="Times New Roman" w:eastAsia="楷体_GB2312"/>
          <w:sz w:val="24"/>
          <w:szCs w:val="24"/>
        </w:rPr>
      </w:pPr>
      <w:r>
        <w:rPr>
          <w:rFonts w:ascii="Times New Roman" w:eastAsia="楷体_GB2312"/>
          <w:b/>
          <w:caps/>
          <w:smallCaps/>
          <w:sz w:val="24"/>
          <w:szCs w:val="24"/>
        </w:rPr>
        <w:fldChar w:fldCharType="end"/>
      </w:r>
    </w:p>
    <w:p w14:paraId="72DB7A78">
      <w:pPr>
        <w:pStyle w:val="17"/>
        <w:spacing w:after="78"/>
        <w:rPr>
          <w:rFonts w:ascii="Times New Roman" w:eastAsia="楷体_GB2312"/>
          <w:sz w:val="24"/>
          <w:szCs w:val="24"/>
        </w:rPr>
        <w:sectPr>
          <w:footerReference r:id="rId7" w:type="default"/>
          <w:pgSz w:w="11906" w:h="16838"/>
          <w:pgMar w:top="1440" w:right="1800" w:bottom="1440" w:left="1800" w:header="1417" w:footer="1134" w:gutter="0"/>
          <w:cols w:space="720" w:num="1"/>
          <w:docGrid w:type="lines" w:linePitch="312" w:charSpace="0"/>
        </w:sectPr>
      </w:pPr>
    </w:p>
    <w:p w14:paraId="68F6343E">
      <w:pPr>
        <w:spacing w:line="380" w:lineRule="atLeast"/>
        <w:jc w:val="center"/>
        <w:rPr>
          <w:rFonts w:eastAsia="楷体_GB2312"/>
          <w:b/>
          <w:kern w:val="0"/>
          <w:sz w:val="30"/>
          <w:szCs w:val="30"/>
        </w:rPr>
      </w:pPr>
      <w:r>
        <w:rPr>
          <w:rFonts w:eastAsia="楷体_GB2312"/>
          <w:b/>
          <w:kern w:val="0"/>
          <w:sz w:val="30"/>
          <w:szCs w:val="30"/>
        </w:rPr>
        <w:t>【信托名称】之</w:t>
      </w:r>
    </w:p>
    <w:p w14:paraId="483F2908">
      <w:pPr>
        <w:spacing w:line="380" w:lineRule="atLeast"/>
        <w:jc w:val="center"/>
        <w:rPr>
          <w:rFonts w:eastAsia="楷体_GB2312"/>
          <w:b/>
          <w:kern w:val="0"/>
          <w:sz w:val="30"/>
          <w:szCs w:val="30"/>
        </w:rPr>
      </w:pPr>
      <w:r>
        <w:rPr>
          <w:rFonts w:eastAsia="楷体_GB2312"/>
          <w:b/>
          <w:kern w:val="0"/>
          <w:sz w:val="30"/>
          <w:szCs w:val="30"/>
        </w:rPr>
        <w:t>信托合同</w:t>
      </w:r>
    </w:p>
    <w:p w14:paraId="3A15F112">
      <w:pPr>
        <w:spacing w:before="156" w:beforeLines="50" w:after="156" w:afterLines="50" w:line="240" w:lineRule="atLeast"/>
        <w:rPr>
          <w:rFonts w:eastAsia="楷体_GB2312"/>
          <w:b/>
          <w:sz w:val="24"/>
        </w:rPr>
      </w:pPr>
    </w:p>
    <w:p w14:paraId="76CE1F38">
      <w:pPr>
        <w:spacing w:before="156" w:beforeLines="50" w:after="156" w:afterLines="50" w:line="360" w:lineRule="auto"/>
        <w:rPr>
          <w:rFonts w:eastAsia="楷体_GB2312"/>
          <w:b/>
          <w:sz w:val="24"/>
        </w:rPr>
      </w:pPr>
      <w:r>
        <w:rPr>
          <w:rFonts w:eastAsia="楷体_GB2312"/>
          <w:b/>
          <w:sz w:val="24"/>
        </w:rPr>
        <w:t>《【信托名称】之信托合同》（“本合同”）由下列双方于【】年【】月【】日在中国【】市【】区签订。</w:t>
      </w:r>
      <w:r>
        <w:rPr>
          <w:rFonts w:eastAsia="楷体_GB2312"/>
          <w:b/>
          <w:sz w:val="24"/>
        </w:rPr>
        <w:tab/>
      </w:r>
    </w:p>
    <w:p w14:paraId="5C90A5D2">
      <w:pPr>
        <w:tabs>
          <w:tab w:val="left" w:pos="2025"/>
          <w:tab w:val="left" w:pos="8928"/>
        </w:tabs>
        <w:spacing w:before="156" w:beforeLines="50" w:after="156" w:afterLines="50" w:line="360" w:lineRule="auto"/>
        <w:jc w:val="left"/>
        <w:rPr>
          <w:rFonts w:eastAsia="楷体_GB2312"/>
          <w:bCs/>
          <w:sz w:val="24"/>
        </w:rPr>
      </w:pPr>
      <w:r>
        <w:rPr>
          <w:rFonts w:eastAsia="楷体_GB2312"/>
          <w:b/>
          <w:sz w:val="24"/>
        </w:rPr>
        <w:t>委托人：</w:t>
      </w:r>
      <w:r>
        <w:rPr>
          <w:rFonts w:eastAsia="楷体_GB2312"/>
          <w:b/>
          <w:sz w:val="24"/>
        </w:rPr>
        <w:tab/>
      </w:r>
      <w:r>
        <w:rPr>
          <w:rFonts w:eastAsia="楷体_GB2312"/>
          <w:b/>
          <w:bCs/>
          <w:sz w:val="24"/>
        </w:rPr>
        <w:t>【发起机构全称】</w:t>
      </w:r>
      <w:r>
        <w:rPr>
          <w:rFonts w:eastAsia="楷体_GB2312"/>
          <w:b/>
          <w:bCs/>
          <w:sz w:val="24"/>
        </w:rPr>
        <w:br w:type="textWrapping"/>
      </w:r>
      <w:r>
        <w:rPr>
          <w:rFonts w:eastAsia="楷体_GB2312"/>
          <w:bCs/>
          <w:sz w:val="24"/>
        </w:rPr>
        <w:t>法定代表人：</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注册地址：</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邮政编码：</w:t>
      </w:r>
      <w:r>
        <w:rPr>
          <w:rFonts w:eastAsia="楷体_GB2312"/>
          <w:bCs/>
          <w:sz w:val="24"/>
        </w:rPr>
        <w:tab/>
      </w:r>
      <w:r>
        <w:rPr>
          <w:rFonts w:eastAsia="楷体_GB2312"/>
          <w:bCs/>
          <w:sz w:val="24"/>
        </w:rPr>
        <w:t>【】</w:t>
      </w:r>
      <w:r>
        <w:rPr>
          <w:rFonts w:eastAsia="楷体_GB2312"/>
          <w:bCs/>
          <w:sz w:val="24"/>
        </w:rPr>
        <w:br w:type="textWrapping"/>
      </w:r>
      <w:r>
        <w:rPr>
          <w:rFonts w:eastAsia="楷体_GB2312"/>
          <w:sz w:val="24"/>
        </w:rPr>
        <w:t>通讯地址：</w:t>
      </w:r>
      <w:r>
        <w:rPr>
          <w:rFonts w:eastAsia="楷体_GB2312"/>
          <w:sz w:val="24"/>
        </w:rPr>
        <w:tab/>
      </w:r>
      <w:r>
        <w:rPr>
          <w:rFonts w:eastAsia="楷体_GB2312"/>
          <w:sz w:val="24"/>
        </w:rPr>
        <w:t>【】</w:t>
      </w:r>
      <w:r>
        <w:rPr>
          <w:rFonts w:eastAsia="楷体_GB2312"/>
          <w:bCs/>
          <w:sz w:val="24"/>
        </w:rPr>
        <w:br w:type="textWrapping"/>
      </w:r>
      <w:r>
        <w:rPr>
          <w:rFonts w:eastAsia="楷体_GB2312"/>
          <w:bCs/>
          <w:sz w:val="24"/>
        </w:rPr>
        <w:t>联系电话：</w:t>
      </w:r>
      <w:bookmarkStart w:id="0" w:name="_Hlk517189392"/>
      <w:r>
        <w:rPr>
          <w:rFonts w:eastAsia="楷体_GB2312"/>
          <w:bCs/>
          <w:sz w:val="24"/>
        </w:rPr>
        <w:tab/>
      </w:r>
      <w:bookmarkEnd w:id="0"/>
      <w:r>
        <w:rPr>
          <w:rFonts w:eastAsia="楷体_GB2312"/>
          <w:bCs/>
          <w:sz w:val="24"/>
        </w:rPr>
        <w:t>【】</w:t>
      </w:r>
      <w:r>
        <w:rPr>
          <w:rFonts w:eastAsia="楷体_GB2312"/>
          <w:bCs/>
          <w:sz w:val="24"/>
        </w:rPr>
        <w:br w:type="textWrapping"/>
      </w:r>
      <w:r>
        <w:rPr>
          <w:rFonts w:eastAsia="楷体_GB2312"/>
          <w:bCs/>
          <w:sz w:val="24"/>
        </w:rPr>
        <w:t>联系人：</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传真：</w:t>
      </w:r>
      <w:r>
        <w:rPr>
          <w:rFonts w:eastAsia="楷体_GB2312"/>
          <w:bCs/>
          <w:sz w:val="24"/>
        </w:rPr>
        <w:tab/>
      </w:r>
      <w:r>
        <w:rPr>
          <w:rFonts w:eastAsia="楷体_GB2312"/>
          <w:bCs/>
          <w:sz w:val="24"/>
        </w:rPr>
        <w:t>【】</w:t>
      </w:r>
      <w:r>
        <w:rPr>
          <w:rFonts w:eastAsia="楷体_GB2312"/>
          <w:sz w:val="24"/>
        </w:rPr>
        <w:br w:type="textWrapping"/>
      </w:r>
      <w:r>
        <w:rPr>
          <w:rFonts w:eastAsia="楷体_GB2312"/>
          <w:sz w:val="24"/>
        </w:rPr>
        <w:t>电子邮箱：</w:t>
      </w:r>
      <w:r>
        <w:rPr>
          <w:rFonts w:eastAsia="楷体_GB2312"/>
          <w:bCs/>
          <w:sz w:val="24"/>
        </w:rPr>
        <w:tab/>
      </w:r>
      <w:r>
        <w:rPr>
          <w:rFonts w:eastAsia="楷体_GB2312"/>
          <w:bCs/>
          <w:sz w:val="24"/>
        </w:rPr>
        <w:t>【】</w:t>
      </w:r>
    </w:p>
    <w:p w14:paraId="34365A82">
      <w:pPr>
        <w:tabs>
          <w:tab w:val="left" w:pos="2025"/>
          <w:tab w:val="left" w:pos="8928"/>
        </w:tabs>
        <w:spacing w:before="156" w:beforeLines="50" w:after="156" w:afterLines="50" w:line="360" w:lineRule="auto"/>
        <w:jc w:val="left"/>
        <w:rPr>
          <w:rFonts w:eastAsia="楷体_GB2312"/>
          <w:sz w:val="24"/>
        </w:rPr>
      </w:pPr>
      <w:r>
        <w:rPr>
          <w:rFonts w:eastAsia="楷体_GB2312"/>
          <w:b/>
          <w:sz w:val="24"/>
        </w:rPr>
        <w:t>受托人：</w:t>
      </w:r>
      <w:r>
        <w:rPr>
          <w:rFonts w:eastAsia="楷体_GB2312"/>
          <w:b/>
          <w:sz w:val="24"/>
        </w:rPr>
        <w:tab/>
      </w:r>
      <w:r>
        <w:rPr>
          <w:rFonts w:eastAsia="楷体_GB2312"/>
          <w:b/>
          <w:sz w:val="24"/>
        </w:rPr>
        <w:t>【受托机构全称】</w:t>
      </w:r>
      <w:r>
        <w:rPr>
          <w:rFonts w:eastAsia="楷体_GB2312"/>
          <w:b/>
          <w:sz w:val="24"/>
        </w:rPr>
        <w:br w:type="textWrapping"/>
      </w:r>
      <w:r>
        <w:rPr>
          <w:rFonts w:eastAsia="楷体_GB2312"/>
          <w:bCs/>
          <w:sz w:val="24"/>
        </w:rPr>
        <w:t>法定代表人：</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注册地址：</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邮政编码：</w:t>
      </w:r>
      <w:r>
        <w:rPr>
          <w:rFonts w:eastAsia="楷体_GB2312"/>
          <w:bCs/>
          <w:sz w:val="24"/>
        </w:rPr>
        <w:tab/>
      </w:r>
      <w:r>
        <w:rPr>
          <w:rFonts w:eastAsia="楷体_GB2312"/>
          <w:bCs/>
          <w:sz w:val="24"/>
        </w:rPr>
        <w:t>【】</w:t>
      </w:r>
      <w:r>
        <w:rPr>
          <w:rFonts w:eastAsia="楷体_GB2312"/>
          <w:bCs/>
          <w:sz w:val="24"/>
        </w:rPr>
        <w:br w:type="textWrapping"/>
      </w:r>
      <w:r>
        <w:rPr>
          <w:rFonts w:eastAsia="楷体_GB2312"/>
          <w:sz w:val="24"/>
        </w:rPr>
        <w:t>通讯地址：</w:t>
      </w:r>
      <w:r>
        <w:rPr>
          <w:rFonts w:eastAsia="楷体_GB2312"/>
          <w:sz w:val="24"/>
        </w:rPr>
        <w:tab/>
      </w:r>
      <w:r>
        <w:rPr>
          <w:rFonts w:eastAsia="楷体_GB2312"/>
          <w:sz w:val="24"/>
        </w:rPr>
        <w:t>【】</w:t>
      </w:r>
      <w:r>
        <w:rPr>
          <w:rFonts w:eastAsia="楷体_GB2312"/>
          <w:bCs/>
          <w:sz w:val="24"/>
        </w:rPr>
        <w:br w:type="textWrapping"/>
      </w:r>
      <w:r>
        <w:rPr>
          <w:rFonts w:eastAsia="楷体_GB2312"/>
          <w:bCs/>
          <w:sz w:val="24"/>
        </w:rPr>
        <w:t>联系电话：</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联系人：</w:t>
      </w:r>
      <w:r>
        <w:rPr>
          <w:rFonts w:eastAsia="楷体_GB2312"/>
          <w:bCs/>
          <w:sz w:val="24"/>
        </w:rPr>
        <w:tab/>
      </w:r>
      <w:r>
        <w:rPr>
          <w:rFonts w:eastAsia="楷体_GB2312"/>
          <w:bCs/>
          <w:sz w:val="24"/>
        </w:rPr>
        <w:t>【】</w:t>
      </w:r>
      <w:r>
        <w:rPr>
          <w:rFonts w:eastAsia="楷体_GB2312"/>
          <w:bCs/>
          <w:sz w:val="24"/>
        </w:rPr>
        <w:br w:type="textWrapping"/>
      </w:r>
      <w:r>
        <w:rPr>
          <w:rFonts w:eastAsia="楷体_GB2312"/>
          <w:bCs/>
          <w:sz w:val="24"/>
        </w:rPr>
        <w:t>传真：</w:t>
      </w:r>
      <w:r>
        <w:rPr>
          <w:rFonts w:eastAsia="楷体_GB2312"/>
          <w:bCs/>
          <w:sz w:val="24"/>
        </w:rPr>
        <w:tab/>
      </w:r>
      <w:r>
        <w:rPr>
          <w:rFonts w:eastAsia="楷体_GB2312"/>
          <w:bCs/>
          <w:sz w:val="24"/>
        </w:rPr>
        <w:t>【】</w:t>
      </w:r>
      <w:r>
        <w:rPr>
          <w:rFonts w:eastAsia="楷体_GB2312"/>
          <w:sz w:val="24"/>
        </w:rPr>
        <w:br w:type="textWrapping"/>
      </w:r>
      <w:r>
        <w:rPr>
          <w:rFonts w:eastAsia="楷体_GB2312"/>
          <w:sz w:val="24"/>
        </w:rPr>
        <w:t>电子邮箱：</w:t>
      </w:r>
      <w:r>
        <w:rPr>
          <w:rFonts w:eastAsia="楷体_GB2312"/>
          <w:bCs/>
          <w:sz w:val="24"/>
        </w:rPr>
        <w:tab/>
      </w:r>
      <w:r>
        <w:rPr>
          <w:rFonts w:eastAsia="楷体_GB2312"/>
          <w:bCs/>
          <w:sz w:val="24"/>
        </w:rPr>
        <w:t>【】</w:t>
      </w:r>
    </w:p>
    <w:p w14:paraId="243AF250">
      <w:pPr>
        <w:tabs>
          <w:tab w:val="left" w:pos="0"/>
          <w:tab w:val="left" w:pos="8928"/>
        </w:tabs>
        <w:spacing w:before="156" w:beforeLines="50" w:after="156" w:afterLines="50" w:line="360" w:lineRule="auto"/>
        <w:rPr>
          <w:rFonts w:eastAsia="楷体_GB2312"/>
          <w:bCs/>
          <w:sz w:val="24"/>
        </w:rPr>
      </w:pPr>
      <w:r>
        <w:rPr>
          <w:rFonts w:eastAsia="楷体_GB2312"/>
          <w:bCs/>
          <w:sz w:val="24"/>
        </w:rPr>
        <w:t>以上主体合称为双方，单称为一方。</w:t>
      </w:r>
    </w:p>
    <w:p w14:paraId="046EACAD">
      <w:pPr>
        <w:pStyle w:val="11"/>
        <w:spacing w:before="156" w:beforeLines="50" w:after="156" w:afterLines="50" w:line="360" w:lineRule="auto"/>
        <w:ind w:firstLine="0" w:firstLineChars="0"/>
        <w:rPr>
          <w:rFonts w:ascii="Times New Roman" w:eastAsia="楷体_GB2312"/>
          <w:bCs/>
          <w:sz w:val="24"/>
          <w:szCs w:val="24"/>
        </w:rPr>
      </w:pPr>
      <w:r>
        <w:rPr>
          <w:rFonts w:ascii="Times New Roman" w:eastAsia="楷体_GB2312"/>
          <w:bCs/>
          <w:sz w:val="24"/>
          <w:szCs w:val="24"/>
        </w:rPr>
        <w:t>鉴于：</w:t>
      </w:r>
    </w:p>
    <w:p w14:paraId="24E31283">
      <w:pPr>
        <w:pStyle w:val="39"/>
        <w:numPr>
          <w:ilvl w:val="0"/>
          <w:numId w:val="3"/>
        </w:numPr>
        <w:tabs>
          <w:tab w:val="left" w:pos="425"/>
          <w:tab w:val="left" w:pos="992"/>
        </w:tabs>
        <w:spacing w:before="156" w:beforeLines="50" w:after="156" w:afterLines="50"/>
        <w:rPr>
          <w:rFonts w:eastAsia="楷体_GB2312"/>
        </w:rPr>
      </w:pPr>
      <w:r>
        <w:rPr>
          <w:rFonts w:eastAsia="楷体_GB2312"/>
        </w:rPr>
        <w:t>“委托人”愿意将其合法所有的财产委托给“受托人”，由“受托人”管理、运用、处分“信托财产”。</w:t>
      </w:r>
    </w:p>
    <w:p w14:paraId="3649DEC4">
      <w:pPr>
        <w:pStyle w:val="39"/>
        <w:numPr>
          <w:ilvl w:val="0"/>
          <w:numId w:val="3"/>
        </w:numPr>
        <w:tabs>
          <w:tab w:val="left" w:pos="425"/>
          <w:tab w:val="left" w:pos="992"/>
        </w:tabs>
        <w:spacing w:before="156" w:beforeLines="50" w:after="156" w:afterLines="50"/>
        <w:rPr>
          <w:rFonts w:eastAsia="楷体_GB2312"/>
        </w:rPr>
      </w:pPr>
      <w:r>
        <w:rPr>
          <w:rFonts w:eastAsia="楷体_GB2312"/>
        </w:rPr>
        <w:t>“受托人”为依法设立的信托公司，有权以“受托人”的身份开展信贷资产证券化特定目的信托业务。</w:t>
      </w:r>
    </w:p>
    <w:p w14:paraId="4AF3E15D">
      <w:pPr>
        <w:spacing w:before="156" w:beforeLines="50" w:after="156" w:afterLines="50" w:line="360" w:lineRule="auto"/>
        <w:ind w:firstLine="425"/>
        <w:rPr>
          <w:rFonts w:eastAsia="楷体_GB2312"/>
          <w:sz w:val="24"/>
        </w:rPr>
      </w:pPr>
      <w:r>
        <w:rPr>
          <w:rFonts w:eastAsia="楷体_GB2312"/>
          <w:sz w:val="24"/>
        </w:rPr>
        <w:t>根据《中华人民共和国民法典》、《中华人民共和国信托法》、《信托公司管理办法》、《</w:t>
      </w:r>
      <w:r>
        <w:rPr>
          <w:rFonts w:eastAsia="楷体_GB2312"/>
          <w:kern w:val="0"/>
          <w:sz w:val="24"/>
        </w:rPr>
        <w:t>信贷资产证券化试点管理办法》、《金融机构信贷资产证券化试点监督管理办法》</w:t>
      </w:r>
      <w:r>
        <w:rPr>
          <w:rFonts w:eastAsia="楷体_GB2312"/>
          <w:sz w:val="24"/>
        </w:rPr>
        <w:t>及其他有关法律、行政法规和规章，本着平等、互利、诚实信用的原则，在充分友好协商的基础上，“委托人”和“受托人”就“信贷资产”设立“信托”和发行“资产支持证券”事宜达成本合同，以昭信守。</w:t>
      </w:r>
    </w:p>
    <w:p w14:paraId="091996AA">
      <w:pPr>
        <w:spacing w:before="156" w:beforeLines="50" w:after="156" w:afterLines="50" w:line="360" w:lineRule="auto"/>
        <w:rPr>
          <w:rFonts w:eastAsia="楷体_GB2312"/>
          <w:b/>
          <w:i/>
          <w:color w:val="FF0000"/>
          <w:sz w:val="24"/>
        </w:rPr>
      </w:pPr>
      <w:r>
        <w:rPr>
          <w:rFonts w:eastAsia="楷体_GB2312"/>
          <w:b/>
          <w:i/>
          <w:color w:val="FF0000"/>
          <w:sz w:val="24"/>
        </w:rPr>
        <w:t>【注：就本合同引用的法律法规，均应根据届时适用的最新法律法规进行补充和调整，下同。】</w:t>
      </w:r>
    </w:p>
    <w:p w14:paraId="35B59E1F">
      <w:pPr>
        <w:numPr>
          <w:ilvl w:val="0"/>
          <w:numId w:val="4"/>
        </w:numPr>
        <w:spacing w:before="156" w:beforeLines="50" w:after="156" w:afterLines="50" w:line="360" w:lineRule="auto"/>
        <w:outlineLvl w:val="0"/>
        <w:rPr>
          <w:rFonts w:eastAsia="楷体_GB2312"/>
          <w:b/>
          <w:sz w:val="24"/>
        </w:rPr>
      </w:pPr>
      <w:bookmarkStart w:id="1" w:name="_Toc111281763"/>
      <w:bookmarkStart w:id="2" w:name="_Toc402883932"/>
      <w:bookmarkStart w:id="3" w:name="_Toc110153411"/>
      <w:bookmarkStart w:id="4" w:name="_Toc221382845"/>
      <w:bookmarkStart w:id="5" w:name="_Toc92612901"/>
      <w:r>
        <w:rPr>
          <w:rFonts w:eastAsia="楷体_GB2312"/>
          <w:b/>
          <w:sz w:val="24"/>
        </w:rPr>
        <w:t>定义</w:t>
      </w:r>
      <w:bookmarkEnd w:id="1"/>
      <w:bookmarkEnd w:id="2"/>
      <w:bookmarkEnd w:id="3"/>
      <w:bookmarkEnd w:id="4"/>
      <w:bookmarkEnd w:id="5"/>
    </w:p>
    <w:p w14:paraId="137FE51B">
      <w:pPr>
        <w:spacing w:before="156" w:beforeLines="50" w:after="156" w:afterLines="50" w:line="360" w:lineRule="auto"/>
        <w:ind w:left="424" w:leftChars="202"/>
        <w:rPr>
          <w:rFonts w:eastAsia="楷体_GB2312"/>
          <w:sz w:val="24"/>
        </w:rPr>
      </w:pPr>
      <w:r>
        <w:rPr>
          <w:rFonts w:eastAsia="楷体_GB2312"/>
          <w:sz w:val="24"/>
        </w:rPr>
        <w:t>除非上下文另有解释或文义另作说明，</w:t>
      </w:r>
      <w:r>
        <w:rPr>
          <w:rFonts w:eastAsia="楷体_GB2312"/>
          <w:bCs/>
          <w:sz w:val="24"/>
        </w:rPr>
        <w:t>本合同中的词语</w:t>
      </w:r>
      <w:r>
        <w:rPr>
          <w:rFonts w:eastAsia="楷体_GB2312"/>
          <w:sz w:val="24"/>
        </w:rPr>
        <w:t>或简称</w:t>
      </w:r>
      <w:r>
        <w:rPr>
          <w:rFonts w:eastAsia="楷体_GB2312"/>
          <w:bCs/>
          <w:sz w:val="24"/>
        </w:rPr>
        <w:t>以及所述的解释规则与由本合同双方于本合同签署之日签订的</w:t>
      </w:r>
      <w:r>
        <w:rPr>
          <w:rFonts w:eastAsia="楷体_GB2312"/>
          <w:sz w:val="24"/>
        </w:rPr>
        <w:t>《【信托名称】主定义表》（以下简称</w:t>
      </w:r>
      <w:r>
        <w:rPr>
          <w:rFonts w:eastAsia="楷体_GB2312"/>
          <w:bCs/>
          <w:sz w:val="24"/>
        </w:rPr>
        <w:t>“《主定义表》”）中所定义的词语以及所列示的解释规则，具有相同的含义。</w:t>
      </w:r>
    </w:p>
    <w:p w14:paraId="2C84E81E">
      <w:pPr>
        <w:numPr>
          <w:ilvl w:val="0"/>
          <w:numId w:val="4"/>
        </w:numPr>
        <w:spacing w:before="156" w:beforeLines="50" w:after="156" w:afterLines="50" w:line="360" w:lineRule="auto"/>
        <w:outlineLvl w:val="0"/>
        <w:rPr>
          <w:rFonts w:eastAsia="楷体_GB2312"/>
          <w:b/>
          <w:bCs/>
          <w:sz w:val="24"/>
        </w:rPr>
      </w:pPr>
      <w:bookmarkStart w:id="6" w:name="_Toc111281764"/>
      <w:bookmarkStart w:id="7" w:name="_Toc402883933"/>
      <w:bookmarkStart w:id="8" w:name="_Toc221382846"/>
      <w:bookmarkStart w:id="9" w:name="_Toc110153412"/>
      <w:r>
        <w:rPr>
          <w:rFonts w:eastAsia="楷体_GB2312"/>
          <w:b/>
          <w:bCs/>
          <w:sz w:val="24"/>
        </w:rPr>
        <w:t>信托目的</w:t>
      </w:r>
      <w:bookmarkEnd w:id="6"/>
      <w:bookmarkEnd w:id="7"/>
      <w:bookmarkEnd w:id="8"/>
      <w:bookmarkEnd w:id="9"/>
    </w:p>
    <w:p w14:paraId="01C9A04B">
      <w:pPr>
        <w:numPr>
          <w:ilvl w:val="1"/>
          <w:numId w:val="4"/>
        </w:numPr>
        <w:tabs>
          <w:tab w:val="left" w:pos="992"/>
        </w:tabs>
        <w:spacing w:before="156" w:beforeLines="50" w:after="156" w:afterLines="50" w:line="360" w:lineRule="auto"/>
        <w:ind w:left="879" w:hanging="417"/>
        <w:rPr>
          <w:rFonts w:eastAsia="楷体_GB2312"/>
          <w:sz w:val="24"/>
        </w:rPr>
      </w:pPr>
      <w:r>
        <w:rPr>
          <w:rFonts w:eastAsia="楷体_GB2312"/>
          <w:sz w:val="24"/>
        </w:rPr>
        <w:t>为了实现“信贷资产”的证券化，“委托人”基于对“受托人”的信任，根据本合同将其合法所有的“信贷资产”信托予“受托人”，设立“信托”作为特殊目的载体，为“资产支持证券持有人”的利益</w:t>
      </w:r>
      <w:r>
        <w:rPr>
          <w:rFonts w:eastAsia="楷体_GB2312"/>
          <w:bCs/>
          <w:sz w:val="24"/>
        </w:rPr>
        <w:t>管理、运用和处分</w:t>
      </w:r>
      <w:r>
        <w:rPr>
          <w:rFonts w:eastAsia="楷体_GB2312"/>
          <w:sz w:val="24"/>
        </w:rPr>
        <w:t>“</w:t>
      </w:r>
      <w:r>
        <w:rPr>
          <w:rFonts w:eastAsia="楷体_GB2312"/>
          <w:bCs/>
          <w:sz w:val="24"/>
        </w:rPr>
        <w:t>信托财产</w:t>
      </w:r>
      <w:r>
        <w:rPr>
          <w:rFonts w:eastAsia="楷体_GB2312"/>
          <w:sz w:val="24"/>
        </w:rPr>
        <w:t>”。</w:t>
      </w:r>
    </w:p>
    <w:p w14:paraId="2F17051C">
      <w:pPr>
        <w:numPr>
          <w:ilvl w:val="1"/>
          <w:numId w:val="4"/>
        </w:numPr>
        <w:tabs>
          <w:tab w:val="left" w:pos="992"/>
        </w:tabs>
        <w:spacing w:before="156" w:beforeLines="50" w:after="156" w:afterLines="50" w:line="360" w:lineRule="auto"/>
        <w:ind w:left="879" w:hanging="417"/>
        <w:rPr>
          <w:rFonts w:eastAsia="楷体_GB2312"/>
          <w:sz w:val="24"/>
        </w:rPr>
      </w:pPr>
      <w:r>
        <w:rPr>
          <w:rFonts w:eastAsia="楷体_GB2312"/>
          <w:sz w:val="24"/>
        </w:rPr>
        <w:t>通过“信托”的设立，实现“信贷资产”与“委托人”的自有资产的风险隔离，实现“信贷资产”与“委托人”自身的破产风险相隔离，实现投资者以“信托财产”为限进行追索，从而保护“资产支持证券持有人”的利益，提高金融资源配置效率。</w:t>
      </w:r>
    </w:p>
    <w:p w14:paraId="212BCEEE">
      <w:pPr>
        <w:numPr>
          <w:ilvl w:val="0"/>
          <w:numId w:val="4"/>
        </w:numPr>
        <w:spacing w:before="156" w:beforeLines="50" w:after="156" w:afterLines="50" w:line="360" w:lineRule="auto"/>
        <w:outlineLvl w:val="0"/>
        <w:rPr>
          <w:rFonts w:eastAsia="楷体_GB2312"/>
          <w:b/>
          <w:sz w:val="24"/>
        </w:rPr>
      </w:pPr>
      <w:bookmarkStart w:id="10" w:name="_Toc92612903"/>
      <w:bookmarkStart w:id="11" w:name="_Toc221382847"/>
      <w:bookmarkStart w:id="12" w:name="_Toc111281765"/>
      <w:bookmarkStart w:id="13" w:name="_Toc402883934"/>
      <w:bookmarkStart w:id="14" w:name="_Toc110153413"/>
      <w:r>
        <w:rPr>
          <w:rFonts w:eastAsia="楷体_GB2312"/>
          <w:b/>
          <w:sz w:val="24"/>
        </w:rPr>
        <w:t>信托的设立</w:t>
      </w:r>
      <w:bookmarkEnd w:id="10"/>
      <w:bookmarkEnd w:id="11"/>
      <w:bookmarkEnd w:id="12"/>
      <w:bookmarkEnd w:id="13"/>
      <w:bookmarkEnd w:id="14"/>
    </w:p>
    <w:p w14:paraId="28AE3D14">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15" w:name="_Toc110153414"/>
      <w:bookmarkStart w:id="16" w:name="_Toc111281766"/>
      <w:r>
        <w:rPr>
          <w:rFonts w:eastAsia="楷体_GB2312"/>
          <w:b/>
          <w:sz w:val="24"/>
        </w:rPr>
        <w:t>信托的名称</w:t>
      </w:r>
      <w:bookmarkEnd w:id="15"/>
      <w:bookmarkEnd w:id="16"/>
    </w:p>
    <w:p w14:paraId="3F6A0015">
      <w:pPr>
        <w:spacing w:before="156" w:beforeLines="50" w:after="156" w:afterLines="50" w:line="360" w:lineRule="auto"/>
        <w:ind w:left="840" w:firstLine="57" w:firstLineChars="24"/>
        <w:rPr>
          <w:rFonts w:eastAsia="楷体_GB2312"/>
          <w:bCs/>
          <w:sz w:val="24"/>
        </w:rPr>
      </w:pPr>
      <w:r>
        <w:rPr>
          <w:rFonts w:eastAsia="楷体_GB2312"/>
          <w:sz w:val="24"/>
        </w:rPr>
        <w:t>“</w:t>
      </w:r>
      <w:r>
        <w:rPr>
          <w:rFonts w:eastAsia="楷体_GB2312"/>
          <w:bCs/>
          <w:sz w:val="24"/>
        </w:rPr>
        <w:t>信托</w:t>
      </w:r>
      <w:r>
        <w:rPr>
          <w:rFonts w:eastAsia="楷体_GB2312"/>
          <w:sz w:val="24"/>
        </w:rPr>
        <w:t>”</w:t>
      </w:r>
      <w:r>
        <w:rPr>
          <w:rFonts w:eastAsia="楷体_GB2312"/>
          <w:bCs/>
          <w:sz w:val="24"/>
        </w:rPr>
        <w:t>的名称为：【信托名称】。</w:t>
      </w:r>
    </w:p>
    <w:p w14:paraId="6091FAF8">
      <w:pPr>
        <w:numPr>
          <w:ilvl w:val="1"/>
          <w:numId w:val="4"/>
        </w:numPr>
        <w:tabs>
          <w:tab w:val="left" w:pos="900"/>
        </w:tabs>
        <w:spacing w:before="156" w:beforeLines="50" w:after="156" w:afterLines="50" w:line="360" w:lineRule="auto"/>
        <w:ind w:left="879" w:hanging="454"/>
        <w:outlineLvl w:val="1"/>
        <w:rPr>
          <w:rFonts w:eastAsia="楷体_GB2312"/>
          <w:b/>
          <w:sz w:val="24"/>
        </w:rPr>
      </w:pPr>
      <w:r>
        <w:rPr>
          <w:rFonts w:eastAsia="楷体_GB2312"/>
          <w:b/>
          <w:sz w:val="24"/>
        </w:rPr>
        <w:t>信托类别</w:t>
      </w:r>
    </w:p>
    <w:p w14:paraId="5B55F806">
      <w:pPr>
        <w:spacing w:before="156" w:beforeLines="50" w:after="156" w:afterLines="50" w:line="360" w:lineRule="auto"/>
        <w:ind w:left="840" w:firstLine="57" w:firstLineChars="24"/>
        <w:rPr>
          <w:rFonts w:eastAsia="楷体_GB2312"/>
          <w:bCs/>
          <w:sz w:val="24"/>
        </w:rPr>
      </w:pPr>
      <w:r>
        <w:rPr>
          <w:rFonts w:eastAsia="楷体_GB2312"/>
          <w:bCs/>
          <w:sz w:val="24"/>
        </w:rPr>
        <w:t>“信托”的类别为：【资产证券化服务信托】。</w:t>
      </w:r>
    </w:p>
    <w:p w14:paraId="0C18E8A8">
      <w:pPr>
        <w:numPr>
          <w:ilvl w:val="1"/>
          <w:numId w:val="4"/>
        </w:numPr>
        <w:tabs>
          <w:tab w:val="left" w:pos="900"/>
        </w:tabs>
        <w:spacing w:before="156" w:beforeLines="50" w:after="156" w:afterLines="50" w:line="360" w:lineRule="auto"/>
        <w:ind w:left="879" w:hanging="454"/>
        <w:outlineLvl w:val="1"/>
        <w:rPr>
          <w:rFonts w:eastAsia="楷体_GB2312"/>
          <w:b/>
          <w:sz w:val="24"/>
        </w:rPr>
      </w:pPr>
      <w:r>
        <w:rPr>
          <w:rFonts w:eastAsia="楷体_GB2312"/>
          <w:b/>
          <w:sz w:val="24"/>
        </w:rPr>
        <w:t>信托业务品种</w:t>
      </w:r>
    </w:p>
    <w:p w14:paraId="32A22CC7">
      <w:pPr>
        <w:spacing w:before="156" w:beforeLines="50" w:after="156" w:afterLines="50" w:line="360" w:lineRule="auto"/>
        <w:ind w:firstLine="960" w:firstLineChars="400"/>
        <w:rPr>
          <w:rFonts w:eastAsia="楷体_GB2312"/>
          <w:bCs/>
          <w:sz w:val="24"/>
        </w:rPr>
      </w:pPr>
      <w:r>
        <w:rPr>
          <w:rFonts w:eastAsia="楷体_GB2312"/>
          <w:bCs/>
          <w:sz w:val="24"/>
        </w:rPr>
        <w:t>“信托”的业务品种为：【信贷资产证券化服务信托】。</w:t>
      </w:r>
    </w:p>
    <w:p w14:paraId="129CAD88">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17" w:name="_Toc106417340"/>
      <w:bookmarkEnd w:id="17"/>
      <w:bookmarkStart w:id="18" w:name="_Toc110153415"/>
      <w:bookmarkStart w:id="19" w:name="_Toc92612904"/>
      <w:bookmarkStart w:id="20" w:name="_Toc111281767"/>
      <w:r>
        <w:rPr>
          <w:rFonts w:eastAsia="楷体_GB2312"/>
          <w:b/>
          <w:sz w:val="24"/>
        </w:rPr>
        <w:t>信托当事人</w:t>
      </w:r>
      <w:bookmarkEnd w:id="18"/>
      <w:bookmarkEnd w:id="19"/>
      <w:bookmarkEnd w:id="20"/>
    </w:p>
    <w:p w14:paraId="1FB9E8B7">
      <w:pPr>
        <w:numPr>
          <w:ilvl w:val="2"/>
          <w:numId w:val="4"/>
        </w:numPr>
        <w:tabs>
          <w:tab w:val="left" w:pos="900"/>
          <w:tab w:val="left" w:pos="1701"/>
        </w:tabs>
        <w:spacing w:before="156" w:beforeLines="50" w:after="156" w:afterLines="50" w:line="360" w:lineRule="auto"/>
        <w:ind w:left="1560" w:hanging="664"/>
        <w:rPr>
          <w:rFonts w:eastAsia="楷体_GB2312"/>
          <w:b/>
          <w:bCs/>
          <w:sz w:val="24"/>
        </w:rPr>
      </w:pPr>
      <w:r>
        <w:rPr>
          <w:rFonts w:eastAsia="楷体_GB2312"/>
          <w:b/>
          <w:bCs/>
          <w:sz w:val="24"/>
        </w:rPr>
        <w:t>委托人：</w:t>
      </w:r>
      <w:r>
        <w:rPr>
          <w:rFonts w:eastAsia="楷体_GB2312"/>
          <w:sz w:val="24"/>
        </w:rPr>
        <w:t>【发起机构全称】。</w:t>
      </w:r>
    </w:p>
    <w:p w14:paraId="3A2171B3">
      <w:pPr>
        <w:numPr>
          <w:ilvl w:val="2"/>
          <w:numId w:val="4"/>
        </w:numPr>
        <w:tabs>
          <w:tab w:val="left" w:pos="900"/>
          <w:tab w:val="left" w:pos="1701"/>
        </w:tabs>
        <w:spacing w:before="156" w:beforeLines="50" w:after="156" w:afterLines="50" w:line="360" w:lineRule="auto"/>
        <w:ind w:left="1560" w:hanging="664"/>
        <w:rPr>
          <w:rFonts w:eastAsia="楷体_GB2312"/>
          <w:b/>
          <w:bCs/>
          <w:sz w:val="24"/>
        </w:rPr>
      </w:pPr>
      <w:r>
        <w:rPr>
          <w:rFonts w:eastAsia="楷体_GB2312"/>
          <w:b/>
          <w:bCs/>
          <w:sz w:val="24"/>
        </w:rPr>
        <w:t>受托人：</w:t>
      </w:r>
      <w:r>
        <w:rPr>
          <w:rFonts w:eastAsia="楷体_GB2312"/>
          <w:sz w:val="24"/>
        </w:rPr>
        <w:t>【受托机构全称】。</w:t>
      </w:r>
    </w:p>
    <w:p w14:paraId="3013A2DD">
      <w:pPr>
        <w:numPr>
          <w:ilvl w:val="2"/>
          <w:numId w:val="4"/>
        </w:numPr>
        <w:tabs>
          <w:tab w:val="left" w:pos="900"/>
          <w:tab w:val="left" w:pos="1701"/>
        </w:tabs>
        <w:spacing w:before="156" w:beforeLines="50" w:after="156" w:afterLines="50" w:line="360" w:lineRule="auto"/>
        <w:ind w:left="1560" w:hanging="664"/>
        <w:rPr>
          <w:rFonts w:eastAsia="楷体_GB2312"/>
          <w:b/>
          <w:bCs/>
          <w:sz w:val="24"/>
        </w:rPr>
      </w:pPr>
      <w:r>
        <w:rPr>
          <w:rFonts w:eastAsia="楷体_GB2312"/>
          <w:b/>
          <w:bCs/>
          <w:sz w:val="24"/>
        </w:rPr>
        <w:t>受益人的范围和确定方法：</w:t>
      </w:r>
      <w:r>
        <w:rPr>
          <w:rFonts w:eastAsia="楷体_GB2312"/>
          <w:sz w:val="24"/>
        </w:rPr>
        <w:t>“信托”的“受益人”为“资产支持证券持有人”。“资产支持证券持有人”包括：“优先级资产支持证券持有人”和“次级资产支持证券持有人”，以及各类别“资产支持证券持有人”的合法继承人和受让人。</w:t>
      </w:r>
    </w:p>
    <w:p w14:paraId="7C5BD305">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21" w:name="_Toc110153416"/>
      <w:bookmarkStart w:id="22" w:name="_Toc111281768"/>
      <w:bookmarkStart w:id="23" w:name="_Toc92612905"/>
      <w:r>
        <w:rPr>
          <w:rFonts w:eastAsia="楷体_GB2312"/>
          <w:b/>
          <w:sz w:val="24"/>
        </w:rPr>
        <w:t>信托声明</w:t>
      </w:r>
      <w:bookmarkEnd w:id="21"/>
      <w:bookmarkEnd w:id="22"/>
      <w:bookmarkEnd w:id="23"/>
    </w:p>
    <w:p w14:paraId="69BB65BE">
      <w:pPr>
        <w:numPr>
          <w:ilvl w:val="2"/>
          <w:numId w:val="4"/>
        </w:numPr>
        <w:tabs>
          <w:tab w:val="left" w:pos="900"/>
          <w:tab w:val="left" w:pos="1701"/>
        </w:tabs>
        <w:spacing w:before="156" w:beforeLines="50" w:after="156" w:afterLines="50" w:line="360" w:lineRule="auto"/>
        <w:ind w:left="1560" w:hanging="664"/>
        <w:rPr>
          <w:rFonts w:eastAsia="楷体_GB2312"/>
          <w:b/>
          <w:bCs/>
          <w:sz w:val="24"/>
        </w:rPr>
      </w:pPr>
      <w:r>
        <w:rPr>
          <w:rFonts w:eastAsia="楷体_GB2312"/>
          <w:sz w:val="24"/>
        </w:rPr>
        <w:t>“</w:t>
      </w:r>
      <w:r>
        <w:rPr>
          <w:rFonts w:eastAsia="楷体_GB2312"/>
          <w:bCs/>
          <w:sz w:val="24"/>
        </w:rPr>
        <w:t>委托人</w:t>
      </w:r>
      <w:r>
        <w:rPr>
          <w:rFonts w:eastAsia="楷体_GB2312"/>
          <w:sz w:val="24"/>
        </w:rPr>
        <w:t>”自愿按照本合同的约定将其合法所有并且依法可转让的“信贷资产”作为“信托财产”信托予“受托人”设立“信托”，并决定按照本合同第</w:t>
      </w:r>
      <w:r>
        <w:rPr>
          <w:rFonts w:eastAsia="楷体_GB2312"/>
          <w:sz w:val="24"/>
        </w:rPr>
        <w:fldChar w:fldCharType="begin"/>
      </w:r>
      <w:r>
        <w:rPr>
          <w:rFonts w:eastAsia="楷体_GB2312"/>
          <w:sz w:val="24"/>
        </w:rPr>
        <w:instrText xml:space="preserve"> REF _Ref466149703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款的约定办理“资产池”项下相关“抵押权”和“抵押权预告登记权益”的设立、转移登记手续。</w:t>
      </w:r>
    </w:p>
    <w:p w14:paraId="553B1ED6">
      <w:pPr>
        <w:numPr>
          <w:ilvl w:val="2"/>
          <w:numId w:val="4"/>
        </w:numPr>
        <w:tabs>
          <w:tab w:val="left" w:pos="900"/>
          <w:tab w:val="left" w:pos="1701"/>
        </w:tabs>
        <w:spacing w:before="156" w:beforeLines="50" w:after="156" w:afterLines="50" w:line="360" w:lineRule="auto"/>
        <w:ind w:left="1560" w:hanging="664"/>
        <w:rPr>
          <w:rFonts w:eastAsia="楷体_GB2312"/>
          <w:sz w:val="24"/>
        </w:rPr>
      </w:pPr>
      <w:r>
        <w:rPr>
          <w:rFonts w:eastAsia="楷体_GB2312"/>
          <w:sz w:val="24"/>
        </w:rPr>
        <w:t>“受托人”</w:t>
      </w:r>
      <w:r>
        <w:rPr>
          <w:rFonts w:eastAsia="楷体_GB2312"/>
          <w:bCs/>
          <w:sz w:val="24"/>
        </w:rPr>
        <w:t>同意接受</w:t>
      </w:r>
      <w:r>
        <w:rPr>
          <w:rFonts w:eastAsia="楷体_GB2312"/>
          <w:sz w:val="24"/>
        </w:rPr>
        <w:t>“</w:t>
      </w:r>
      <w:r>
        <w:rPr>
          <w:rFonts w:eastAsia="楷体_GB2312"/>
          <w:bCs/>
          <w:sz w:val="24"/>
        </w:rPr>
        <w:t>委托人</w:t>
      </w:r>
      <w:r>
        <w:rPr>
          <w:rFonts w:eastAsia="楷体_GB2312"/>
          <w:sz w:val="24"/>
        </w:rPr>
        <w:t>”的委托</w:t>
      </w:r>
      <w:r>
        <w:rPr>
          <w:rFonts w:eastAsia="楷体_GB2312"/>
          <w:bCs/>
          <w:sz w:val="24"/>
        </w:rPr>
        <w:t>，并按本合同的约定以自己的名义，按本合同的约定管理、运用、处分</w:t>
      </w:r>
      <w:r>
        <w:rPr>
          <w:rFonts w:eastAsia="楷体_GB2312"/>
          <w:sz w:val="24"/>
        </w:rPr>
        <w:t>“</w:t>
      </w:r>
      <w:r>
        <w:rPr>
          <w:rFonts w:eastAsia="楷体_GB2312"/>
          <w:bCs/>
          <w:sz w:val="24"/>
        </w:rPr>
        <w:t>信托财产</w:t>
      </w:r>
      <w:r>
        <w:rPr>
          <w:rFonts w:eastAsia="楷体_GB2312"/>
          <w:sz w:val="24"/>
        </w:rPr>
        <w:t>”</w:t>
      </w:r>
      <w:r>
        <w:rPr>
          <w:rFonts w:eastAsia="楷体_GB2312"/>
          <w:bCs/>
          <w:sz w:val="24"/>
        </w:rPr>
        <w:t>。</w:t>
      </w:r>
    </w:p>
    <w:p w14:paraId="581AD866">
      <w:pPr>
        <w:numPr>
          <w:ilvl w:val="1"/>
          <w:numId w:val="4"/>
        </w:numPr>
        <w:tabs>
          <w:tab w:val="left" w:pos="900"/>
        </w:tabs>
        <w:spacing w:before="156" w:beforeLines="50" w:after="156" w:afterLines="50" w:line="360" w:lineRule="auto"/>
        <w:ind w:left="879" w:hanging="454"/>
        <w:outlineLvl w:val="1"/>
        <w:rPr>
          <w:rFonts w:eastAsia="楷体_GB2312"/>
          <w:b/>
          <w:sz w:val="24"/>
        </w:rPr>
      </w:pPr>
      <w:r>
        <w:rPr>
          <w:rFonts w:eastAsia="楷体_GB2312"/>
          <w:b/>
          <w:sz w:val="24"/>
        </w:rPr>
        <w:t>资产池的信托</w:t>
      </w:r>
    </w:p>
    <w:p w14:paraId="18ECA709">
      <w:pPr>
        <w:numPr>
          <w:ilvl w:val="2"/>
          <w:numId w:val="4"/>
        </w:numPr>
        <w:tabs>
          <w:tab w:val="left" w:pos="900"/>
          <w:tab w:val="left" w:pos="1701"/>
        </w:tabs>
        <w:spacing w:before="156" w:beforeLines="50" w:after="156" w:afterLines="50" w:line="360" w:lineRule="auto"/>
        <w:ind w:left="1560" w:hanging="664"/>
        <w:rPr>
          <w:rFonts w:eastAsia="楷体_GB2312"/>
          <w:sz w:val="24"/>
        </w:rPr>
      </w:pPr>
      <w:bookmarkStart w:id="24" w:name="_Ref518576096"/>
      <w:r>
        <w:rPr>
          <w:rFonts w:eastAsia="楷体_GB2312"/>
          <w:sz w:val="24"/>
        </w:rPr>
        <w:t>自“信托生效日”起，“委托人”为“受益人”的利益，将自“初始起算日”（含该日）起(a)“委托人”对于以下财产的（现时的和未来的、现实的和或有的）在“抵押贷款合同”项下全部权利、权益、利益和收益，(b)以下财产所产生的全部回收款项，(c)以下财产被转让、被出售、被拍卖、被变卖或者被以其他方式处置所获得的全部款项，(d)请求、起诉、收回、接受与以下财产相关的全部应偿付款项（不论其是否应由“借款人”偿付）的权利，(e)来自与以下财产相关的利益以及强制执行以下财产的全部权利和法律救济，均信托予“受托人”：</w:t>
      </w:r>
      <w:bookmarkEnd w:id="24"/>
    </w:p>
    <w:p w14:paraId="49D0BFEA">
      <w:pPr>
        <w:numPr>
          <w:ilvl w:val="0"/>
          <w:numId w:val="5"/>
        </w:numPr>
        <w:spacing w:before="156" w:beforeLines="50" w:after="156" w:afterLines="50" w:line="360" w:lineRule="auto"/>
        <w:ind w:left="2127" w:hanging="425"/>
        <w:rPr>
          <w:rFonts w:eastAsia="楷体_GB2312"/>
          <w:sz w:val="24"/>
        </w:rPr>
      </w:pPr>
      <w:r>
        <w:rPr>
          <w:rFonts w:eastAsia="楷体_GB2312"/>
          <w:sz w:val="24"/>
        </w:rPr>
        <w:t>“信贷资产清单”中所列的在“初始起算日”存在的全部“抵押贷款”；</w:t>
      </w:r>
    </w:p>
    <w:p w14:paraId="685F3DF6">
      <w:pPr>
        <w:numPr>
          <w:ilvl w:val="0"/>
          <w:numId w:val="5"/>
        </w:numPr>
        <w:spacing w:before="156" w:beforeLines="50" w:after="156" w:afterLines="50" w:line="360" w:lineRule="auto"/>
        <w:ind w:left="2127" w:hanging="425"/>
        <w:rPr>
          <w:rFonts w:eastAsia="楷体_GB2312"/>
          <w:sz w:val="24"/>
        </w:rPr>
      </w:pPr>
      <w:r>
        <w:rPr>
          <w:rFonts w:eastAsia="楷体_GB2312"/>
          <w:sz w:val="24"/>
        </w:rPr>
        <w:t>上述(1)项“抵押贷款”从“初始起算日”（含该日）至“信托财产交付日”（不含该日）产生的所有“回收款”；</w:t>
      </w:r>
    </w:p>
    <w:p w14:paraId="28D8EAEC">
      <w:pPr>
        <w:spacing w:before="156" w:beforeLines="50" w:after="156" w:afterLines="50" w:line="360" w:lineRule="auto"/>
        <w:ind w:left="1702"/>
        <w:rPr>
          <w:rFonts w:eastAsia="楷体_GB2312"/>
          <w:b/>
          <w:bCs/>
          <w:i/>
          <w:iCs/>
          <w:color w:val="FF0000"/>
          <w:sz w:val="24"/>
        </w:rPr>
      </w:pPr>
      <w:r>
        <w:rPr>
          <w:rFonts w:eastAsia="楷体_GB2312"/>
          <w:b/>
          <w:bCs/>
          <w:i/>
          <w:iCs/>
          <w:color w:val="FF0000"/>
          <w:sz w:val="24"/>
        </w:rPr>
        <w:t>【注：1、初始起算日（含该日）是否含该日可根据项目实际情况进行调整。2、初始起算日至信托财产交付日期间收到的相关利息等款项是否入池可根据项目实际情况进行调整。3、初始起算日前（不含该日）发起机构已计提但尚未收到的利息、罚息（如有）、复利（如有）、违约金（如有）等是否入池可根据项目实际情况进行调整。】</w:t>
      </w:r>
    </w:p>
    <w:p w14:paraId="24B9306F">
      <w:pPr>
        <w:numPr>
          <w:ilvl w:val="0"/>
          <w:numId w:val="5"/>
        </w:numPr>
        <w:spacing w:before="156" w:beforeLines="50" w:after="156" w:afterLines="50" w:line="360" w:lineRule="auto"/>
        <w:ind w:left="2127" w:hanging="425"/>
        <w:rPr>
          <w:rFonts w:eastAsia="楷体_GB2312"/>
          <w:sz w:val="24"/>
        </w:rPr>
      </w:pPr>
      <w:r>
        <w:rPr>
          <w:rFonts w:eastAsia="楷体_GB2312"/>
          <w:sz w:val="24"/>
        </w:rPr>
        <w:t>担保“抵押贷款”的全部“附属权益”。</w:t>
      </w:r>
    </w:p>
    <w:p w14:paraId="6F83DDD9">
      <w:pPr>
        <w:pStyle w:val="40"/>
        <w:spacing w:before="156" w:beforeLines="50" w:after="156" w:afterLines="50" w:line="360" w:lineRule="auto"/>
        <w:ind w:left="1559"/>
        <w:rPr>
          <w:rFonts w:eastAsia="楷体_GB2312"/>
          <w:szCs w:val="24"/>
          <w:lang w:eastAsia="zh-CN"/>
        </w:rPr>
      </w:pPr>
      <w:r>
        <w:rPr>
          <w:rFonts w:eastAsia="楷体_GB2312"/>
          <w:szCs w:val="24"/>
          <w:lang w:eastAsia="zh-CN"/>
        </w:rPr>
        <w:t>“受托人”接受信托，并同意根据本合同、《中华人民共和国信托法》、《信贷资产证券化试点管理办法》、《金融机构信贷资产证券化试点监督管理办法》、《信托公司管理办法》以及其他任何应适用的“中国”“法律”的规定履行其职责和义务。</w:t>
      </w:r>
    </w:p>
    <w:p w14:paraId="30E2D1A2">
      <w:pPr>
        <w:numPr>
          <w:ilvl w:val="2"/>
          <w:numId w:val="4"/>
        </w:numPr>
        <w:tabs>
          <w:tab w:val="left" w:pos="900"/>
          <w:tab w:val="left" w:pos="1701"/>
        </w:tabs>
        <w:spacing w:before="156" w:beforeLines="50" w:after="156" w:afterLines="50" w:line="360" w:lineRule="auto"/>
        <w:ind w:left="1560" w:hanging="664"/>
        <w:rPr>
          <w:rFonts w:eastAsia="楷体_GB2312"/>
          <w:sz w:val="24"/>
        </w:rPr>
      </w:pPr>
      <w:r>
        <w:rPr>
          <w:rFonts w:eastAsia="楷体_GB2312"/>
          <w:sz w:val="24"/>
        </w:rPr>
        <w:t>自“信托生效日”起，“资产池”即成为“信托财产”，“委托人”除根据本合同第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条赎回“不合格信贷资产”或根据本合同第</w:t>
      </w:r>
      <w:r>
        <w:rPr>
          <w:rFonts w:eastAsia="楷体_GB2312"/>
          <w:sz w:val="24"/>
        </w:rPr>
        <w:fldChar w:fldCharType="begin"/>
      </w:r>
      <w:r>
        <w:rPr>
          <w:rFonts w:eastAsia="楷体_GB2312"/>
          <w:sz w:val="24"/>
        </w:rPr>
        <w:instrText xml:space="preserve"> REF _Ref63070203 \r \h  \* MERGEFORMAT </w:instrText>
      </w:r>
      <w:r>
        <w:rPr>
          <w:rFonts w:eastAsia="楷体_GB2312"/>
          <w:sz w:val="24"/>
        </w:rPr>
        <w:fldChar w:fldCharType="separate"/>
      </w:r>
      <w:r>
        <w:rPr>
          <w:rFonts w:eastAsia="楷体_GB2312"/>
          <w:sz w:val="24"/>
        </w:rPr>
        <w:t>14</w:t>
      </w:r>
      <w:r>
        <w:rPr>
          <w:rFonts w:eastAsia="楷体_GB2312"/>
          <w:sz w:val="24"/>
        </w:rPr>
        <w:fldChar w:fldCharType="end"/>
      </w:r>
      <w:r>
        <w:rPr>
          <w:rFonts w:eastAsia="楷体_GB2312"/>
          <w:sz w:val="24"/>
        </w:rPr>
        <w:t>条进行“清仓回购”外，对该等“资产池”不再享有任何权利也不再承担任何风险。</w:t>
      </w:r>
    </w:p>
    <w:p w14:paraId="0890FAD0">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25" w:name="_Toc110153417"/>
      <w:bookmarkEnd w:id="25"/>
      <w:bookmarkStart w:id="26" w:name="_Toc110370835"/>
      <w:bookmarkEnd w:id="26"/>
      <w:bookmarkStart w:id="27" w:name="_Toc110370632"/>
      <w:bookmarkEnd w:id="27"/>
      <w:bookmarkStart w:id="28" w:name="_Toc110370633"/>
      <w:bookmarkEnd w:id="28"/>
      <w:bookmarkStart w:id="29" w:name="_Toc110153418"/>
      <w:bookmarkEnd w:id="29"/>
      <w:bookmarkStart w:id="30" w:name="_Toc110370834"/>
      <w:bookmarkEnd w:id="30"/>
      <w:bookmarkStart w:id="31" w:name="_Ref110392648"/>
      <w:bookmarkStart w:id="32" w:name="_Toc111281769"/>
      <w:bookmarkStart w:id="33" w:name="_Toc110153419"/>
      <w:bookmarkStart w:id="34" w:name="_Ref111021949"/>
      <w:bookmarkStart w:id="35" w:name="_Ref110336882"/>
      <w:bookmarkStart w:id="36" w:name="_Ref148383501"/>
      <w:bookmarkStart w:id="37" w:name="_Toc92612907"/>
      <w:bookmarkStart w:id="38" w:name="_Ref110337144"/>
      <w:bookmarkStart w:id="39" w:name="_Ref110334703"/>
      <w:r>
        <w:rPr>
          <w:rFonts w:eastAsia="楷体_GB2312"/>
          <w:b/>
          <w:sz w:val="24"/>
        </w:rPr>
        <w:t>信托财产</w:t>
      </w:r>
      <w:bookmarkEnd w:id="31"/>
      <w:bookmarkEnd w:id="32"/>
      <w:bookmarkEnd w:id="33"/>
      <w:bookmarkEnd w:id="34"/>
      <w:bookmarkEnd w:id="35"/>
      <w:bookmarkEnd w:id="36"/>
      <w:bookmarkEnd w:id="37"/>
      <w:bookmarkEnd w:id="38"/>
      <w:bookmarkEnd w:id="39"/>
      <w:r>
        <w:rPr>
          <w:rFonts w:eastAsia="楷体_GB2312"/>
          <w:b/>
          <w:sz w:val="24"/>
        </w:rPr>
        <w:t>的范围、种类、合格标准及状况</w:t>
      </w:r>
    </w:p>
    <w:p w14:paraId="3CF2B190">
      <w:pPr>
        <w:numPr>
          <w:ilvl w:val="2"/>
          <w:numId w:val="4"/>
        </w:numPr>
        <w:tabs>
          <w:tab w:val="left" w:pos="1134"/>
          <w:tab w:val="left" w:pos="1701"/>
        </w:tabs>
        <w:spacing w:before="156" w:beforeLines="50" w:after="156" w:afterLines="50" w:line="360" w:lineRule="auto"/>
        <w:ind w:left="1560" w:hanging="664"/>
        <w:rPr>
          <w:rFonts w:eastAsia="楷体_GB2312"/>
          <w:b/>
          <w:sz w:val="24"/>
        </w:rPr>
      </w:pPr>
      <w:r>
        <w:rPr>
          <w:rFonts w:eastAsia="楷体_GB2312"/>
          <w:b/>
          <w:bCs/>
          <w:sz w:val="24"/>
        </w:rPr>
        <w:t>信托财产</w:t>
      </w:r>
      <w:r>
        <w:rPr>
          <w:rFonts w:eastAsia="楷体_GB2312"/>
          <w:b/>
          <w:sz w:val="24"/>
        </w:rPr>
        <w:t>的范围</w:t>
      </w:r>
    </w:p>
    <w:p w14:paraId="4592BD66">
      <w:pPr>
        <w:pStyle w:val="40"/>
        <w:spacing w:before="156" w:beforeLines="50" w:after="156" w:afterLines="50" w:line="360" w:lineRule="auto"/>
        <w:ind w:left="1559"/>
        <w:rPr>
          <w:rFonts w:eastAsia="楷体_GB2312"/>
          <w:szCs w:val="24"/>
          <w:lang w:eastAsia="zh-CN"/>
        </w:rPr>
      </w:pPr>
      <w:r>
        <w:rPr>
          <w:rFonts w:eastAsia="楷体_GB2312"/>
          <w:szCs w:val="24"/>
          <w:lang w:eastAsia="zh-CN"/>
        </w:rPr>
        <w:t>“信托”的“信托财产”的范围包括：</w:t>
      </w:r>
    </w:p>
    <w:p w14:paraId="2978D4F6">
      <w:pPr>
        <w:numPr>
          <w:ilvl w:val="0"/>
          <w:numId w:val="6"/>
        </w:numPr>
        <w:spacing w:before="156" w:beforeLines="50" w:after="156" w:afterLines="50" w:line="360" w:lineRule="auto"/>
        <w:ind w:left="2127" w:hanging="425"/>
        <w:rPr>
          <w:rStyle w:val="41"/>
          <w:rFonts w:eastAsia="楷体_GB2312"/>
          <w:color w:val="auto"/>
          <w:kern w:val="0"/>
          <w:sz w:val="24"/>
          <w:szCs w:val="20"/>
          <w:u w:val="none"/>
          <w:lang w:val="en-GB"/>
        </w:rPr>
      </w:pPr>
      <w:bookmarkStart w:id="40" w:name="_DV_C215"/>
      <w:r>
        <w:rPr>
          <w:rFonts w:eastAsia="楷体_GB2312"/>
          <w:sz w:val="24"/>
        </w:rPr>
        <w:t>“信贷资产清单”</w:t>
      </w:r>
      <w:r>
        <w:rPr>
          <w:rStyle w:val="41"/>
          <w:rFonts w:eastAsia="楷体_GB2312"/>
          <w:color w:val="auto"/>
          <w:w w:val="0"/>
          <w:sz w:val="24"/>
          <w:u w:val="none"/>
        </w:rPr>
        <w:t>（格式见本合同</w:t>
      </w:r>
      <w:r>
        <w:rPr>
          <w:rStyle w:val="41"/>
          <w:rFonts w:eastAsia="楷体_GB2312"/>
          <w:b/>
          <w:i/>
          <w:color w:val="auto"/>
          <w:w w:val="0"/>
          <w:sz w:val="24"/>
          <w:u w:val="none"/>
        </w:rPr>
        <w:t>附件一</w:t>
      </w:r>
      <w:r>
        <w:rPr>
          <w:rStyle w:val="41"/>
          <w:rFonts w:eastAsia="楷体_GB2312"/>
          <w:color w:val="auto"/>
          <w:w w:val="0"/>
          <w:sz w:val="24"/>
          <w:u w:val="none"/>
        </w:rPr>
        <w:t>）中所列的在“初始起算日”存在的全部“信贷资产”；</w:t>
      </w:r>
      <w:bookmarkEnd w:id="40"/>
    </w:p>
    <w:p w14:paraId="1B8EB238">
      <w:pPr>
        <w:numPr>
          <w:ilvl w:val="0"/>
          <w:numId w:val="6"/>
        </w:numPr>
        <w:spacing w:before="156" w:beforeLines="50" w:after="156" w:afterLines="50" w:line="360" w:lineRule="auto"/>
        <w:ind w:left="2127" w:hanging="425"/>
        <w:rPr>
          <w:rStyle w:val="41"/>
          <w:rFonts w:eastAsia="楷体_GB2312"/>
          <w:color w:val="auto"/>
          <w:w w:val="0"/>
          <w:sz w:val="24"/>
          <w:u w:val="none"/>
        </w:rPr>
      </w:pPr>
      <w:bookmarkStart w:id="41" w:name="_DV_C218"/>
      <w:r>
        <w:rPr>
          <w:rFonts w:eastAsia="楷体_GB2312"/>
          <w:sz w:val="24"/>
        </w:rPr>
        <w:t>“委托人”</w:t>
      </w:r>
      <w:r>
        <w:rPr>
          <w:rStyle w:val="41"/>
          <w:rFonts w:eastAsia="楷体_GB2312"/>
          <w:color w:val="auto"/>
          <w:w w:val="0"/>
          <w:sz w:val="24"/>
          <w:u w:val="none"/>
        </w:rPr>
        <w:t>自“初始起算日”（含该日）起至“信托生效日”（不含该日）收到的所有“回收款”；</w:t>
      </w:r>
      <w:bookmarkEnd w:id="41"/>
    </w:p>
    <w:p w14:paraId="4C57C172">
      <w:pPr>
        <w:autoSpaceDE w:val="0"/>
        <w:autoSpaceDN w:val="0"/>
        <w:adjustRightInd w:val="0"/>
        <w:spacing w:before="156" w:beforeLines="50" w:after="156" w:afterLines="50" w:line="360" w:lineRule="auto"/>
        <w:ind w:left="1985"/>
        <w:rPr>
          <w:rFonts w:eastAsia="楷体_GB2312"/>
          <w:b/>
          <w:bCs/>
          <w:i/>
          <w:color w:val="FF0000"/>
          <w:sz w:val="24"/>
        </w:rPr>
      </w:pPr>
      <w:r>
        <w:rPr>
          <w:rFonts w:eastAsia="楷体_GB2312"/>
          <w:b/>
          <w:bCs/>
          <w:i/>
          <w:color w:val="FF0000"/>
          <w:sz w:val="24"/>
        </w:rPr>
        <w:t>【注：1、初始起算日（含该日）是否含该日可根据项目实际情况进行调整。2、初始起算日至信托财产交付日期间收到的相关利息等款项是否入池可根据项目实际情况进行调整。3、初始起算日前（不含该日）发起机构已计提但尚未收到的利息、罚息（如有）、复利（如有）、违约金（如有）等是否入池可根据项目实际情况进行调整。】</w:t>
      </w:r>
    </w:p>
    <w:p w14:paraId="5DA5079B">
      <w:pPr>
        <w:numPr>
          <w:ilvl w:val="0"/>
          <w:numId w:val="6"/>
        </w:numPr>
        <w:spacing w:before="156" w:beforeLines="50" w:after="156" w:afterLines="50" w:line="360" w:lineRule="auto"/>
        <w:ind w:left="2127" w:hanging="425"/>
        <w:rPr>
          <w:rStyle w:val="41"/>
          <w:color w:val="auto"/>
          <w:u w:val="none"/>
        </w:rPr>
      </w:pPr>
      <w:bookmarkStart w:id="42" w:name="_DV_C231"/>
      <w:r>
        <w:rPr>
          <w:rStyle w:val="41"/>
          <w:rFonts w:eastAsia="楷体_GB2312"/>
          <w:color w:val="auto"/>
          <w:w w:val="0"/>
          <w:sz w:val="24"/>
          <w:u w:val="none"/>
        </w:rPr>
        <w:t>“受托人”因对“信贷资产”、“回收款”管理、运用、处分或者其他情形而取得的“信托财产收益”以及其他财产（包括但不限于因“不合格信贷资产”被赎回所取得相当于“赎回价格”的款项以及因“信贷资产”被“清仓回购”所取得相当于“清仓回购价格”的款项）。</w:t>
      </w:r>
      <w:bookmarkEnd w:id="42"/>
    </w:p>
    <w:p w14:paraId="1F21B34E">
      <w:pPr>
        <w:numPr>
          <w:ilvl w:val="2"/>
          <w:numId w:val="4"/>
        </w:numPr>
        <w:tabs>
          <w:tab w:val="left" w:pos="900"/>
          <w:tab w:val="left" w:pos="1701"/>
        </w:tabs>
        <w:spacing w:before="156" w:beforeLines="50" w:after="156" w:afterLines="50" w:line="360" w:lineRule="auto"/>
        <w:ind w:left="1560" w:hanging="664"/>
        <w:rPr>
          <w:rFonts w:eastAsia="楷体_GB2312"/>
          <w:sz w:val="24"/>
        </w:rPr>
      </w:pPr>
      <w:bookmarkStart w:id="43" w:name="_DV_M135"/>
      <w:bookmarkEnd w:id="43"/>
      <w:bookmarkStart w:id="44" w:name="_DV_M136"/>
      <w:bookmarkEnd w:id="44"/>
      <w:bookmarkStart w:id="45" w:name="_DV_M133"/>
      <w:bookmarkEnd w:id="45"/>
      <w:bookmarkStart w:id="46" w:name="_DV_M132"/>
      <w:bookmarkEnd w:id="46"/>
      <w:bookmarkStart w:id="47" w:name="_DV_M137"/>
      <w:bookmarkEnd w:id="47"/>
      <w:bookmarkStart w:id="48" w:name="_DV_M134"/>
      <w:bookmarkEnd w:id="48"/>
      <w:r>
        <w:rPr>
          <w:rFonts w:eastAsia="楷体_GB2312"/>
          <w:b/>
          <w:bCs/>
          <w:sz w:val="24"/>
        </w:rPr>
        <w:t>信贷</w:t>
      </w:r>
      <w:r>
        <w:rPr>
          <w:rFonts w:eastAsia="楷体_GB2312"/>
          <w:b/>
          <w:sz w:val="24"/>
        </w:rPr>
        <w:t>资产的种类</w:t>
      </w:r>
    </w:p>
    <w:p w14:paraId="6AE883B0">
      <w:pPr>
        <w:spacing w:before="156" w:beforeLines="50" w:after="156" w:afterLines="50" w:line="360" w:lineRule="auto"/>
        <w:ind w:left="1559"/>
        <w:rPr>
          <w:rFonts w:eastAsia="楷体_GB2312"/>
          <w:sz w:val="24"/>
        </w:rPr>
      </w:pPr>
      <w:r>
        <w:rPr>
          <w:rFonts w:eastAsia="楷体_GB2312"/>
          <w:sz w:val="24"/>
        </w:rPr>
        <w:t>在“初始起算日”和“信托财产交付日”，“委托人”信托予“受托人”的“信贷资产”种类属于“委托人”的人民币个人住房抵押贷款。</w:t>
      </w:r>
    </w:p>
    <w:p w14:paraId="7510D44C">
      <w:pPr>
        <w:numPr>
          <w:ilvl w:val="2"/>
          <w:numId w:val="4"/>
        </w:numPr>
        <w:tabs>
          <w:tab w:val="left" w:pos="900"/>
          <w:tab w:val="left" w:pos="1701"/>
        </w:tabs>
        <w:spacing w:before="156" w:beforeLines="50" w:after="156" w:afterLines="50" w:line="360" w:lineRule="auto"/>
        <w:ind w:left="1560" w:hanging="664"/>
        <w:rPr>
          <w:rFonts w:eastAsia="楷体_GB2312"/>
          <w:sz w:val="24"/>
        </w:rPr>
      </w:pPr>
      <w:bookmarkStart w:id="49" w:name="_Ref148383488"/>
      <w:r>
        <w:rPr>
          <w:rFonts w:eastAsia="楷体_GB2312"/>
          <w:b/>
          <w:bCs/>
          <w:sz w:val="24"/>
        </w:rPr>
        <w:t>信贷</w:t>
      </w:r>
      <w:r>
        <w:rPr>
          <w:rFonts w:eastAsia="楷体_GB2312"/>
          <w:b/>
          <w:sz w:val="24"/>
        </w:rPr>
        <w:t>资产的合格标准</w:t>
      </w:r>
      <w:bookmarkEnd w:id="49"/>
    </w:p>
    <w:p w14:paraId="21AD4E0A">
      <w:pPr>
        <w:spacing w:before="156" w:beforeLines="50" w:after="156" w:afterLines="50" w:line="360" w:lineRule="auto"/>
        <w:ind w:left="1559"/>
        <w:rPr>
          <w:rFonts w:eastAsia="楷体_GB2312"/>
          <w:bCs/>
          <w:sz w:val="24"/>
          <w:u w:val="single"/>
        </w:rPr>
      </w:pPr>
      <w:r>
        <w:rPr>
          <w:rFonts w:eastAsia="楷体_GB2312"/>
          <w:sz w:val="24"/>
        </w:rPr>
        <w:t>在“初始起算日”和“信托财产交付日”，每一笔“抵押贷款”均应符合“合格标准”</w:t>
      </w:r>
      <w:r>
        <w:rPr>
          <w:rFonts w:eastAsia="楷体_GB2312"/>
          <w:bCs/>
          <w:sz w:val="24"/>
        </w:rPr>
        <w:t>。</w:t>
      </w:r>
    </w:p>
    <w:p w14:paraId="109794CD">
      <w:pPr>
        <w:numPr>
          <w:ilvl w:val="2"/>
          <w:numId w:val="4"/>
        </w:numPr>
        <w:tabs>
          <w:tab w:val="left" w:pos="900"/>
          <w:tab w:val="left" w:pos="1701"/>
        </w:tabs>
        <w:spacing w:before="156" w:beforeLines="50" w:after="156" w:afterLines="50" w:line="360" w:lineRule="auto"/>
        <w:ind w:left="1560" w:hanging="664"/>
        <w:rPr>
          <w:rFonts w:eastAsia="楷体_GB2312"/>
          <w:b/>
          <w:sz w:val="24"/>
        </w:rPr>
      </w:pPr>
      <w:r>
        <w:rPr>
          <w:rFonts w:eastAsia="楷体_GB2312"/>
          <w:b/>
          <w:sz w:val="24"/>
        </w:rPr>
        <w:t>信贷资产的状况</w:t>
      </w:r>
    </w:p>
    <w:p w14:paraId="223434AC">
      <w:pPr>
        <w:spacing w:before="156" w:beforeLines="50" w:after="156" w:afterLines="50" w:line="360" w:lineRule="auto"/>
        <w:ind w:left="1559"/>
        <w:rPr>
          <w:rFonts w:eastAsia="楷体_GB2312"/>
          <w:sz w:val="24"/>
        </w:rPr>
      </w:pPr>
      <w:bookmarkStart w:id="50" w:name="_Ref111021078"/>
      <w:r>
        <w:rPr>
          <w:rFonts w:eastAsia="楷体_GB2312"/>
          <w:sz w:val="24"/>
        </w:rPr>
        <w:t>截至“初始起算日”和“信托财产交付日”，“信贷资产”的整体状况和“信贷资产”包含的每一笔“抵押贷款”的状况详见“信贷资产清单”。</w:t>
      </w:r>
      <w:bookmarkEnd w:id="50"/>
    </w:p>
    <w:p w14:paraId="47D566CD">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51" w:name="_Ref518575555"/>
      <w:r>
        <w:rPr>
          <w:rFonts w:eastAsia="楷体_GB2312"/>
          <w:b/>
          <w:sz w:val="24"/>
        </w:rPr>
        <w:t>信托设立的前提条件</w:t>
      </w:r>
      <w:bookmarkEnd w:id="51"/>
    </w:p>
    <w:p w14:paraId="60D5A8C7">
      <w:pPr>
        <w:spacing w:before="156" w:beforeLines="50" w:after="156" w:afterLines="50" w:line="360" w:lineRule="auto"/>
        <w:ind w:left="851"/>
        <w:rPr>
          <w:rFonts w:eastAsia="楷体_GB2312"/>
          <w:sz w:val="24"/>
        </w:rPr>
      </w:pPr>
      <w:r>
        <w:rPr>
          <w:rFonts w:eastAsia="楷体_GB2312"/>
          <w:sz w:val="24"/>
        </w:rPr>
        <w:t>“委托人”于“信托生效日”将“资产池”信托予“受托人”，“受托人”于“信托生效日”接受该“资产池”并于“信托生效日”设立“信托”，都以下列先决条件在“信托生效日”当日或之前得到满足（或被有权方放弃）为前提，且“信托”在下列全部条件满足（或被有权方放弃）后生效：</w:t>
      </w:r>
    </w:p>
    <w:p w14:paraId="7FB8C01E">
      <w:pPr>
        <w:numPr>
          <w:ilvl w:val="2"/>
          <w:numId w:val="4"/>
        </w:numPr>
        <w:tabs>
          <w:tab w:val="left" w:pos="900"/>
          <w:tab w:val="left" w:pos="1701"/>
        </w:tabs>
        <w:spacing w:before="156" w:beforeLines="50" w:after="156" w:afterLines="50" w:line="360" w:lineRule="auto"/>
        <w:ind w:left="1560" w:hanging="664"/>
        <w:rPr>
          <w:rFonts w:eastAsia="楷体_GB2312"/>
          <w:sz w:val="24"/>
        </w:rPr>
      </w:pPr>
      <w:r>
        <w:rPr>
          <w:rFonts w:eastAsia="楷体_GB2312"/>
          <w:bCs/>
          <w:sz w:val="24"/>
        </w:rPr>
        <w:t>“委托人”</w:t>
      </w:r>
      <w:r>
        <w:rPr>
          <w:rFonts w:eastAsia="楷体_GB2312"/>
          <w:sz w:val="24"/>
        </w:rPr>
        <w:t>已向“受托人”交付了“委托人”的金融许可证、营业执照以及批准“委托人”签署“交易文件”以及进行本合同项下的交易的必要的公司文件、批文或授权书的复印件（如有）；</w:t>
      </w:r>
    </w:p>
    <w:p w14:paraId="6DAF3954">
      <w:pPr>
        <w:numPr>
          <w:ilvl w:val="2"/>
          <w:numId w:val="4"/>
        </w:numPr>
        <w:tabs>
          <w:tab w:val="left" w:pos="900"/>
          <w:tab w:val="left" w:pos="1701"/>
        </w:tabs>
        <w:spacing w:before="156" w:beforeLines="50" w:after="156" w:afterLines="50" w:line="360" w:lineRule="auto"/>
        <w:ind w:left="1560" w:hanging="664"/>
        <w:rPr>
          <w:rFonts w:eastAsia="楷体_GB2312"/>
          <w:sz w:val="24"/>
        </w:rPr>
      </w:pPr>
      <w:r>
        <w:rPr>
          <w:rFonts w:eastAsia="楷体_GB2312"/>
          <w:sz w:val="24"/>
        </w:rPr>
        <w:t>“受托人”已向“委托人”交付了“受托人”的金融许可证、营业执照</w:t>
      </w:r>
      <w:r>
        <w:rPr>
          <w:rFonts w:eastAsia="楷体_GB2312"/>
          <w:bCs/>
          <w:sz w:val="24"/>
        </w:rPr>
        <w:t>以及</w:t>
      </w:r>
      <w:r>
        <w:rPr>
          <w:rFonts w:eastAsia="楷体_GB2312"/>
          <w:sz w:val="24"/>
        </w:rPr>
        <w:t>批准“受托人”签署“交易文件”以及进行本合同项下的交易的必要的公司文件、批文或授权书的复印件（如有）；</w:t>
      </w:r>
    </w:p>
    <w:p w14:paraId="76374439">
      <w:pPr>
        <w:numPr>
          <w:ilvl w:val="2"/>
          <w:numId w:val="4"/>
        </w:numPr>
        <w:tabs>
          <w:tab w:val="left" w:pos="900"/>
          <w:tab w:val="left" w:pos="1701"/>
        </w:tabs>
        <w:spacing w:before="156" w:beforeLines="50" w:after="156" w:afterLines="50" w:line="360" w:lineRule="auto"/>
        <w:ind w:left="1560" w:hanging="664"/>
        <w:rPr>
          <w:rFonts w:eastAsia="楷体_GB2312"/>
          <w:sz w:val="24"/>
        </w:rPr>
      </w:pPr>
      <w:r>
        <w:rPr>
          <w:rFonts w:eastAsia="楷体_GB2312"/>
          <w:bCs/>
          <w:sz w:val="24"/>
        </w:rPr>
        <w:t>【“《信托合同》”、“《服务合同》”、“《资金保管合同》”、“《主承销协议》”】</w:t>
      </w:r>
      <w:r>
        <w:rPr>
          <w:rFonts w:eastAsia="楷体_GB2312"/>
          <w:sz w:val="24"/>
        </w:rPr>
        <w:t>的相关各方（“委托人”除外）已分别向“受托人”交付了批准或授权其签署“交易文件”、行使其权利和履行其义务所必备的全部内部（包括但不限于公司文件、批文或授权书）（如有）的、政府机构的和第三方的批准和授权文件的复印件；</w:t>
      </w:r>
    </w:p>
    <w:p w14:paraId="41413086">
      <w:pPr>
        <w:tabs>
          <w:tab w:val="left" w:pos="1701"/>
        </w:tabs>
        <w:spacing w:before="156" w:beforeLines="50" w:after="156" w:afterLines="50" w:line="360" w:lineRule="auto"/>
        <w:ind w:left="1559"/>
        <w:rPr>
          <w:rFonts w:eastAsia="楷体_GB2312"/>
          <w:b/>
          <w:i/>
          <w:color w:val="FF0000"/>
          <w:sz w:val="24"/>
        </w:rPr>
      </w:pPr>
      <w:r>
        <w:rPr>
          <w:rFonts w:eastAsia="楷体_GB2312"/>
          <w:b/>
          <w:i/>
          <w:color w:val="FF0000"/>
          <w:sz w:val="24"/>
        </w:rPr>
        <w:t>【注：上述涉及的交易文件范围、文件的规格要求等细节可根据项目实际情况进行调整，下同。】</w:t>
      </w:r>
    </w:p>
    <w:p w14:paraId="7CEF5B38">
      <w:pPr>
        <w:numPr>
          <w:ilvl w:val="2"/>
          <w:numId w:val="4"/>
        </w:numPr>
        <w:tabs>
          <w:tab w:val="left" w:pos="900"/>
          <w:tab w:val="left" w:pos="1701"/>
        </w:tabs>
        <w:spacing w:before="156" w:beforeLines="50" w:after="156" w:afterLines="50" w:line="360" w:lineRule="auto"/>
        <w:ind w:left="1560" w:hanging="709"/>
        <w:rPr>
          <w:rFonts w:eastAsia="楷体_GB2312"/>
          <w:sz w:val="24"/>
        </w:rPr>
      </w:pPr>
      <w:r>
        <w:rPr>
          <w:rFonts w:eastAsia="楷体_GB2312"/>
          <w:sz w:val="24"/>
        </w:rPr>
        <w:t>【“《主定义表》”、“《信托合同》”、“《服务合同》”、“《资金保管合同》”和“《主承销协议》”】的相关各方已向“受托人”和相应“交易文件”的其他各方交付了经其妥为签署的“交易文件”正本；</w:t>
      </w:r>
    </w:p>
    <w:p w14:paraId="058B6BAF">
      <w:pPr>
        <w:numPr>
          <w:ilvl w:val="2"/>
          <w:numId w:val="4"/>
        </w:numPr>
        <w:tabs>
          <w:tab w:val="left" w:pos="900"/>
          <w:tab w:val="left" w:pos="1701"/>
        </w:tabs>
        <w:spacing w:before="156" w:beforeLines="50" w:after="156" w:afterLines="50" w:line="360" w:lineRule="auto"/>
        <w:ind w:left="1560" w:hanging="709"/>
        <w:rPr>
          <w:rFonts w:eastAsia="楷体_GB2312"/>
          <w:sz w:val="24"/>
        </w:rPr>
      </w:pPr>
      <w:r>
        <w:rPr>
          <w:rFonts w:eastAsia="楷体_GB2312"/>
          <w:sz w:val="24"/>
        </w:rPr>
        <w:t>“委托人”已根据本合同第</w:t>
      </w:r>
      <w:r>
        <w:rPr>
          <w:rFonts w:eastAsia="楷体_GB2312"/>
          <w:sz w:val="24"/>
        </w:rPr>
        <w:fldChar w:fldCharType="begin"/>
      </w:r>
      <w:r>
        <w:rPr>
          <w:rFonts w:eastAsia="楷体_GB2312"/>
          <w:sz w:val="24"/>
        </w:rPr>
        <w:instrText xml:space="preserve"> REF _Ref221378020 \r \h  \* MERGEFORMAT </w:instrText>
      </w:r>
      <w:r>
        <w:rPr>
          <w:rFonts w:eastAsia="楷体_GB2312"/>
          <w:sz w:val="24"/>
        </w:rPr>
        <w:fldChar w:fldCharType="separate"/>
      </w:r>
      <w:r>
        <w:rPr>
          <w:rFonts w:eastAsia="楷体_GB2312"/>
          <w:sz w:val="24"/>
        </w:rPr>
        <w:t>3.13.3</w:t>
      </w:r>
      <w:r>
        <w:rPr>
          <w:rFonts w:eastAsia="楷体_GB2312"/>
          <w:sz w:val="24"/>
        </w:rPr>
        <w:fldChar w:fldCharType="end"/>
      </w:r>
      <w:r>
        <w:rPr>
          <w:rFonts w:eastAsia="楷体_GB2312"/>
          <w:sz w:val="24"/>
        </w:rPr>
        <w:t>款第(1)项的约定向“受托人”交付了经其签署的不可撤销的“授权书”；</w:t>
      </w:r>
    </w:p>
    <w:p w14:paraId="50AEC142">
      <w:pPr>
        <w:numPr>
          <w:ilvl w:val="2"/>
          <w:numId w:val="4"/>
        </w:numPr>
        <w:tabs>
          <w:tab w:val="left" w:pos="900"/>
          <w:tab w:val="left" w:pos="1701"/>
        </w:tabs>
        <w:spacing w:before="156" w:beforeLines="50" w:after="156" w:afterLines="50" w:line="360" w:lineRule="auto"/>
        <w:ind w:left="1560" w:hanging="709"/>
        <w:rPr>
          <w:rFonts w:eastAsia="楷体_GB2312"/>
          <w:sz w:val="24"/>
        </w:rPr>
      </w:pPr>
      <w:r>
        <w:rPr>
          <w:rFonts w:eastAsia="楷体_GB2312"/>
          <w:bCs/>
          <w:sz w:val="24"/>
        </w:rPr>
        <w:t>“</w:t>
      </w:r>
      <w:r>
        <w:rPr>
          <w:rFonts w:eastAsia="楷体_GB2312"/>
          <w:sz w:val="24"/>
        </w:rPr>
        <w:t>受托人”已获得“人民银行”关于注册发行【证券名称】的许可和发行本期“资产支持证券”的备案；</w:t>
      </w:r>
    </w:p>
    <w:p w14:paraId="5B38F304">
      <w:pPr>
        <w:numPr>
          <w:ilvl w:val="2"/>
          <w:numId w:val="4"/>
        </w:numPr>
        <w:tabs>
          <w:tab w:val="left" w:pos="900"/>
          <w:tab w:val="left" w:pos="1701"/>
        </w:tabs>
        <w:spacing w:before="156" w:beforeLines="50" w:after="156" w:afterLines="50" w:line="360" w:lineRule="auto"/>
        <w:ind w:left="1560" w:hanging="709"/>
        <w:rPr>
          <w:rFonts w:eastAsia="楷体_GB2312"/>
          <w:bCs/>
          <w:sz w:val="24"/>
        </w:rPr>
      </w:pPr>
      <w:r>
        <w:rPr>
          <w:rFonts w:eastAsia="楷体_GB2312"/>
          <w:kern w:val="0"/>
          <w:sz w:val="24"/>
        </w:rPr>
        <w:t>“委托人</w:t>
      </w:r>
      <w:r>
        <w:rPr>
          <w:rFonts w:eastAsia="楷体_GB2312"/>
          <w:bCs/>
          <w:sz w:val="24"/>
        </w:rPr>
        <w:t>”和“受托人”已在“银登中心”办理完毕</w:t>
      </w:r>
      <w:r>
        <w:rPr>
          <w:rFonts w:eastAsia="楷体_GB2312"/>
          <w:color w:val="000000"/>
          <w:sz w:val="24"/>
        </w:rPr>
        <w:t>【信托名称】产品</w:t>
      </w:r>
      <w:r>
        <w:rPr>
          <w:rFonts w:eastAsia="楷体_GB2312"/>
          <w:bCs/>
          <w:sz w:val="24"/>
        </w:rPr>
        <w:t>的信息初始登记；</w:t>
      </w:r>
    </w:p>
    <w:p w14:paraId="32CFCBD4">
      <w:pPr>
        <w:numPr>
          <w:ilvl w:val="2"/>
          <w:numId w:val="4"/>
        </w:numPr>
        <w:tabs>
          <w:tab w:val="left" w:pos="900"/>
          <w:tab w:val="left" w:pos="1701"/>
        </w:tabs>
        <w:spacing w:before="156" w:beforeLines="50" w:after="156" w:afterLines="50" w:line="360" w:lineRule="auto"/>
        <w:ind w:left="1560" w:hanging="709"/>
        <w:rPr>
          <w:rFonts w:eastAsia="楷体_GB2312"/>
          <w:bCs/>
          <w:sz w:val="24"/>
        </w:rPr>
      </w:pPr>
      <w:r>
        <w:rPr>
          <w:rFonts w:eastAsia="楷体_GB2312"/>
          <w:bCs/>
          <w:sz w:val="24"/>
        </w:rPr>
        <w:t>“会计顾问”和“税务顾问”已就“信贷资产”信托予“受托人”出具了执行商定程序的报告、会计处理意见和税务意见；</w:t>
      </w:r>
    </w:p>
    <w:p w14:paraId="68CB42A7">
      <w:pPr>
        <w:numPr>
          <w:ilvl w:val="2"/>
          <w:numId w:val="4"/>
        </w:numPr>
        <w:tabs>
          <w:tab w:val="left" w:pos="900"/>
          <w:tab w:val="left" w:pos="1701"/>
        </w:tabs>
        <w:spacing w:before="156" w:beforeLines="50" w:after="156" w:afterLines="50" w:line="360" w:lineRule="auto"/>
        <w:ind w:left="1560" w:hanging="709"/>
        <w:rPr>
          <w:rFonts w:eastAsia="楷体_GB2312"/>
          <w:bCs/>
          <w:sz w:val="24"/>
        </w:rPr>
      </w:pPr>
      <w:r>
        <w:rPr>
          <w:rFonts w:eastAsia="楷体_GB2312"/>
          <w:bCs/>
          <w:sz w:val="24"/>
        </w:rPr>
        <w:t>“法律顾问”已出具了法律意见书和尽职调查报告，除其他事项以外，应就“交易文件”的合法性、有效性、信托设立的合法性发表法律意见；</w:t>
      </w:r>
    </w:p>
    <w:p w14:paraId="58C8FB2D">
      <w:pPr>
        <w:numPr>
          <w:ilvl w:val="2"/>
          <w:numId w:val="4"/>
        </w:numPr>
        <w:tabs>
          <w:tab w:val="left" w:pos="900"/>
          <w:tab w:val="left" w:pos="1582"/>
        </w:tabs>
        <w:spacing w:before="156" w:beforeLines="50" w:after="156" w:afterLines="50" w:line="360" w:lineRule="auto"/>
        <w:ind w:left="1702" w:hanging="851"/>
        <w:rPr>
          <w:rFonts w:eastAsia="楷体_GB2312"/>
          <w:bCs/>
          <w:sz w:val="24"/>
        </w:rPr>
      </w:pPr>
      <w:r>
        <w:rPr>
          <w:rFonts w:eastAsia="楷体_GB2312"/>
          <w:bCs/>
          <w:sz w:val="24"/>
        </w:rPr>
        <w:t>“评级机构”已就“资产支持证券”的信用评级出具了评级报告；</w:t>
      </w:r>
    </w:p>
    <w:p w14:paraId="3158C683">
      <w:pPr>
        <w:numPr>
          <w:ilvl w:val="2"/>
          <w:numId w:val="4"/>
        </w:numPr>
        <w:tabs>
          <w:tab w:val="left" w:pos="900"/>
          <w:tab w:val="left" w:pos="1582"/>
        </w:tabs>
        <w:spacing w:before="156" w:beforeLines="50" w:after="156" w:afterLines="50" w:line="360" w:lineRule="auto"/>
        <w:ind w:left="1560" w:hanging="709"/>
        <w:rPr>
          <w:rFonts w:eastAsia="楷体_GB2312"/>
          <w:sz w:val="24"/>
        </w:rPr>
      </w:pPr>
      <w:bookmarkStart w:id="52" w:name="_Ref331515210"/>
      <w:r>
        <w:rPr>
          <w:rFonts w:eastAsia="楷体_GB2312"/>
          <w:bCs/>
          <w:sz w:val="24"/>
        </w:rPr>
        <w:t>“委托人”和“受</w:t>
      </w:r>
      <w:r>
        <w:rPr>
          <w:rFonts w:eastAsia="楷体_GB2312"/>
          <w:sz w:val="24"/>
        </w:rPr>
        <w:t>托人”已按照本合同第</w:t>
      </w:r>
      <w:r>
        <w:rPr>
          <w:rFonts w:eastAsia="楷体_GB2312"/>
          <w:sz w:val="24"/>
        </w:rPr>
        <w:fldChar w:fldCharType="begin"/>
      </w:r>
      <w:r>
        <w:rPr>
          <w:rFonts w:eastAsia="楷体_GB2312"/>
          <w:sz w:val="24"/>
        </w:rPr>
        <w:instrText xml:space="preserve"> REF _Ref518575910 \r \h  \* MERGEFORMAT </w:instrText>
      </w:r>
      <w:r>
        <w:rPr>
          <w:rFonts w:eastAsia="楷体_GB2312"/>
          <w:sz w:val="24"/>
        </w:rPr>
        <w:fldChar w:fldCharType="separate"/>
      </w:r>
      <w:r>
        <w:rPr>
          <w:rFonts w:eastAsia="楷体_GB2312"/>
          <w:sz w:val="24"/>
        </w:rPr>
        <w:t>3.9.1</w:t>
      </w:r>
      <w:r>
        <w:rPr>
          <w:rFonts w:eastAsia="楷体_GB2312"/>
          <w:sz w:val="24"/>
        </w:rPr>
        <w:fldChar w:fldCharType="end"/>
      </w:r>
      <w:r>
        <w:rPr>
          <w:rFonts w:eastAsia="楷体_GB2312"/>
          <w:sz w:val="24"/>
        </w:rPr>
        <w:t>款的约定完成</w:t>
      </w:r>
      <w:r>
        <w:rPr>
          <w:rFonts w:eastAsia="楷体_GB2312"/>
          <w:bCs/>
          <w:sz w:val="24"/>
        </w:rPr>
        <w:t>“信托财产”</w:t>
      </w:r>
      <w:r>
        <w:rPr>
          <w:rFonts w:eastAsia="楷体_GB2312"/>
          <w:sz w:val="24"/>
        </w:rPr>
        <w:t>的交付。</w:t>
      </w:r>
      <w:bookmarkEnd w:id="52"/>
    </w:p>
    <w:p w14:paraId="35C46F46">
      <w:pPr>
        <w:tabs>
          <w:tab w:val="left" w:pos="1701"/>
        </w:tabs>
        <w:spacing w:before="156" w:beforeLines="50" w:after="156" w:afterLines="50" w:line="360" w:lineRule="auto"/>
        <w:ind w:left="1559"/>
        <w:rPr>
          <w:rFonts w:eastAsia="楷体_GB2312"/>
          <w:b/>
          <w:bCs/>
          <w:i/>
          <w:iCs/>
          <w:color w:val="FF0000"/>
          <w:sz w:val="24"/>
        </w:rPr>
      </w:pPr>
      <w:r>
        <w:rPr>
          <w:rFonts w:eastAsia="楷体_GB2312"/>
          <w:b/>
          <w:bCs/>
          <w:i/>
          <w:iCs/>
          <w:color w:val="FF0000"/>
          <w:sz w:val="24"/>
        </w:rPr>
        <w:t>【注：信托设立的前提条件请结合项目实际情况一一确认和调整（如需）。】</w:t>
      </w:r>
    </w:p>
    <w:p w14:paraId="4BEDA88C">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53" w:name="_Ref465746245"/>
      <w:bookmarkStart w:id="54" w:name="_Ref466149742"/>
      <w:bookmarkStart w:id="55" w:name="_Ref201978958"/>
      <w:bookmarkStart w:id="56" w:name="_Ref111022928"/>
      <w:r>
        <w:rPr>
          <w:rFonts w:eastAsia="楷体_GB2312"/>
          <w:b/>
          <w:sz w:val="24"/>
        </w:rPr>
        <w:t>信托财产的交付</w:t>
      </w:r>
      <w:bookmarkEnd w:id="53"/>
      <w:bookmarkEnd w:id="54"/>
    </w:p>
    <w:p w14:paraId="7767CDB6">
      <w:pPr>
        <w:tabs>
          <w:tab w:val="left" w:pos="900"/>
        </w:tabs>
        <w:spacing w:before="156" w:beforeLines="50" w:after="156" w:afterLines="50" w:line="360" w:lineRule="auto"/>
        <w:ind w:left="879"/>
        <w:outlineLvl w:val="1"/>
        <w:rPr>
          <w:rFonts w:eastAsia="楷体_GB2312"/>
          <w:b/>
          <w:i/>
          <w:iCs/>
          <w:color w:val="FF0000"/>
          <w:sz w:val="24"/>
        </w:rPr>
      </w:pPr>
      <w:r>
        <w:rPr>
          <w:rFonts w:eastAsia="楷体_GB2312"/>
          <w:b/>
          <w:i/>
          <w:iCs/>
          <w:color w:val="FF0000"/>
          <w:sz w:val="24"/>
        </w:rPr>
        <w:t>【注：信托财产的交付形式可根据具体项目情况调整。】</w:t>
      </w:r>
    </w:p>
    <w:p w14:paraId="644BAA90">
      <w:pPr>
        <w:numPr>
          <w:ilvl w:val="2"/>
          <w:numId w:val="4"/>
        </w:numPr>
        <w:tabs>
          <w:tab w:val="left" w:pos="900"/>
          <w:tab w:val="left" w:pos="1701"/>
        </w:tabs>
        <w:spacing w:before="156" w:beforeLines="50" w:after="156" w:afterLines="50" w:line="360" w:lineRule="auto"/>
        <w:ind w:left="1560" w:hanging="664"/>
        <w:rPr>
          <w:rFonts w:eastAsia="楷体_GB2312"/>
          <w:sz w:val="24"/>
        </w:rPr>
      </w:pPr>
      <w:bookmarkStart w:id="57" w:name="_Ref518575910"/>
      <w:r>
        <w:rPr>
          <w:rFonts w:eastAsia="楷体_GB2312"/>
          <w:sz w:val="24"/>
        </w:rPr>
        <w:t>本合同第</w:t>
      </w:r>
      <w:r>
        <w:rPr>
          <w:rFonts w:eastAsia="楷体_GB2312"/>
          <w:sz w:val="24"/>
        </w:rPr>
        <w:fldChar w:fldCharType="begin"/>
      </w:r>
      <w:r>
        <w:rPr>
          <w:rFonts w:eastAsia="楷体_GB2312"/>
          <w:sz w:val="24"/>
        </w:rPr>
        <w:instrText xml:space="preserve"> REF _Ref518575555 \r \h  \* MERGEFORMAT </w:instrText>
      </w:r>
      <w:r>
        <w:rPr>
          <w:rFonts w:eastAsia="楷体_GB2312"/>
          <w:sz w:val="24"/>
        </w:rPr>
        <w:fldChar w:fldCharType="separate"/>
      </w:r>
      <w:r>
        <w:rPr>
          <w:rFonts w:eastAsia="楷体_GB2312"/>
          <w:sz w:val="24"/>
        </w:rPr>
        <w:t>3.8</w:t>
      </w:r>
      <w:r>
        <w:rPr>
          <w:rFonts w:eastAsia="楷体_GB2312"/>
          <w:sz w:val="24"/>
        </w:rPr>
        <w:fldChar w:fldCharType="end"/>
      </w:r>
      <w:r>
        <w:rPr>
          <w:rFonts w:eastAsia="楷体_GB2312"/>
          <w:sz w:val="24"/>
        </w:rPr>
        <w:t>款约定的条件均已满足或被放弃的（但本合同第</w:t>
      </w:r>
      <w:r>
        <w:rPr>
          <w:rFonts w:eastAsia="楷体_GB2312"/>
          <w:sz w:val="24"/>
        </w:rPr>
        <w:fldChar w:fldCharType="begin"/>
      </w:r>
      <w:r>
        <w:rPr>
          <w:rFonts w:eastAsia="楷体_GB2312"/>
          <w:sz w:val="24"/>
        </w:rPr>
        <w:instrText xml:space="preserve"> REF _Ref331515210 \r \h  \* MERGEFORMAT </w:instrText>
      </w:r>
      <w:r>
        <w:rPr>
          <w:rFonts w:eastAsia="楷体_GB2312"/>
          <w:sz w:val="24"/>
        </w:rPr>
        <w:fldChar w:fldCharType="separate"/>
      </w:r>
      <w:r>
        <w:rPr>
          <w:rFonts w:eastAsia="楷体_GB2312"/>
          <w:sz w:val="24"/>
        </w:rPr>
        <w:t>3.8.11</w:t>
      </w:r>
      <w:r>
        <w:rPr>
          <w:rFonts w:eastAsia="楷体_GB2312"/>
          <w:sz w:val="24"/>
        </w:rPr>
        <w:fldChar w:fldCharType="end"/>
      </w:r>
      <w:r>
        <w:rPr>
          <w:rFonts w:eastAsia="楷体_GB2312"/>
          <w:sz w:val="24"/>
        </w:rPr>
        <w:t>款除外），“委托人”在“信托财产交付日”当日【】点前将除第</w:t>
      </w:r>
      <w:r>
        <w:rPr>
          <w:rFonts w:eastAsia="楷体_GB2312"/>
          <w:sz w:val="24"/>
        </w:rPr>
        <w:fldChar w:fldCharType="begin"/>
      </w:r>
      <w:r>
        <w:rPr>
          <w:rFonts w:eastAsia="楷体_GB2312"/>
          <w:sz w:val="24"/>
        </w:rPr>
        <w:instrText xml:space="preserve"> REF _Ref504398651 \r \h  \* MERGEFORMAT </w:instrText>
      </w:r>
      <w:r>
        <w:rPr>
          <w:rFonts w:eastAsia="楷体_GB2312"/>
          <w:sz w:val="24"/>
        </w:rPr>
        <w:fldChar w:fldCharType="separate"/>
      </w:r>
      <w:r>
        <w:rPr>
          <w:rFonts w:eastAsia="楷体_GB2312"/>
          <w:sz w:val="24"/>
        </w:rPr>
        <w:t>3.9.2</w:t>
      </w:r>
      <w:r>
        <w:rPr>
          <w:rFonts w:eastAsia="楷体_GB2312"/>
          <w:sz w:val="24"/>
        </w:rPr>
        <w:fldChar w:fldCharType="end"/>
      </w:r>
      <w:r>
        <w:rPr>
          <w:rFonts w:eastAsia="楷体_GB2312"/>
          <w:sz w:val="24"/>
        </w:rPr>
        <w:t>款约定以外的“信托财产”交付给“受托人”。</w:t>
      </w:r>
      <w:bookmarkEnd w:id="57"/>
    </w:p>
    <w:p w14:paraId="45DB426F">
      <w:pPr>
        <w:numPr>
          <w:ilvl w:val="0"/>
          <w:numId w:val="7"/>
        </w:numPr>
        <w:spacing w:before="156" w:beforeLines="50" w:after="156" w:afterLines="50" w:line="360" w:lineRule="auto"/>
        <w:rPr>
          <w:rFonts w:eastAsia="楷体_GB2312"/>
          <w:sz w:val="24"/>
        </w:rPr>
      </w:pPr>
      <w:bookmarkStart w:id="58" w:name="_Ref432777930"/>
      <w:r>
        <w:rPr>
          <w:rFonts w:eastAsia="楷体_GB2312"/>
          <w:sz w:val="24"/>
        </w:rPr>
        <w:t>“委托人”应于“信托财产交付日”当日【】点前将存有完整“信贷资产清单”的电子文档交付给“受托人”，“受托人”应在当日向“委托人”出具已经接收“信贷资产清单”的确认函（格式见本合同</w:t>
      </w:r>
      <w:r>
        <w:rPr>
          <w:rFonts w:eastAsia="楷体_GB2312"/>
          <w:b/>
          <w:i/>
          <w:sz w:val="24"/>
        </w:rPr>
        <w:t>附件二</w:t>
      </w:r>
      <w:r>
        <w:rPr>
          <w:rFonts w:eastAsia="楷体_GB2312"/>
          <w:sz w:val="24"/>
        </w:rPr>
        <w:t>）并加盖“受托人”的公章或合同专用章。</w:t>
      </w:r>
      <w:bookmarkEnd w:id="58"/>
    </w:p>
    <w:p w14:paraId="07907A4A">
      <w:pPr>
        <w:spacing w:before="156" w:beforeLines="50" w:after="156" w:afterLines="50" w:line="360" w:lineRule="auto"/>
        <w:ind w:left="1985"/>
        <w:rPr>
          <w:rFonts w:eastAsia="楷体_GB2312"/>
          <w:b/>
          <w:i/>
          <w:color w:val="FF0000"/>
          <w:sz w:val="24"/>
        </w:rPr>
      </w:pPr>
      <w:r>
        <w:rPr>
          <w:rFonts w:eastAsia="楷体_GB2312"/>
          <w:b/>
          <w:i/>
          <w:color w:val="FF0000"/>
          <w:sz w:val="24"/>
        </w:rPr>
        <w:t>【注：电子文档格式要求、是否加密等可根据项目情况调整。】</w:t>
      </w:r>
    </w:p>
    <w:p w14:paraId="4CB013D1">
      <w:pPr>
        <w:numPr>
          <w:ilvl w:val="0"/>
          <w:numId w:val="7"/>
        </w:numPr>
        <w:spacing w:before="156" w:beforeLines="50" w:after="156" w:afterLines="50" w:line="360" w:lineRule="auto"/>
        <w:rPr>
          <w:rStyle w:val="41"/>
          <w:rFonts w:eastAsia="楷体_GB2312"/>
          <w:color w:val="auto"/>
          <w:w w:val="0"/>
          <w:sz w:val="24"/>
          <w:u w:val="none"/>
        </w:rPr>
      </w:pPr>
      <w:r>
        <w:rPr>
          <w:rStyle w:val="41"/>
          <w:rFonts w:eastAsia="楷体_GB2312"/>
          <w:color w:val="auto"/>
          <w:w w:val="0"/>
          <w:sz w:val="24"/>
          <w:u w:val="none"/>
        </w:rPr>
        <w:t>在本合同第</w:t>
      </w:r>
      <w:r>
        <w:rPr>
          <w:rStyle w:val="41"/>
          <w:rFonts w:eastAsia="楷体_GB2312"/>
          <w:color w:val="auto"/>
          <w:w w:val="0"/>
          <w:sz w:val="24"/>
          <w:u w:val="none"/>
        </w:rPr>
        <w:fldChar w:fldCharType="begin"/>
      </w:r>
      <w:r>
        <w:rPr>
          <w:rStyle w:val="41"/>
          <w:rFonts w:eastAsia="楷体_GB2312"/>
          <w:color w:val="auto"/>
          <w:w w:val="0"/>
          <w:sz w:val="24"/>
          <w:u w:val="none"/>
        </w:rPr>
        <w:instrText xml:space="preserve"> REF _Ref518576096 \r \h  \* MERGEFORMAT </w:instrText>
      </w:r>
      <w:r>
        <w:rPr>
          <w:rStyle w:val="41"/>
          <w:rFonts w:eastAsia="楷体_GB2312"/>
          <w:color w:val="auto"/>
          <w:w w:val="0"/>
          <w:sz w:val="24"/>
          <w:u w:val="none"/>
        </w:rPr>
        <w:fldChar w:fldCharType="separate"/>
      </w:r>
      <w:r>
        <w:rPr>
          <w:rStyle w:val="41"/>
          <w:rFonts w:eastAsia="楷体_GB2312"/>
          <w:color w:val="auto"/>
          <w:w w:val="0"/>
          <w:sz w:val="24"/>
          <w:u w:val="none"/>
        </w:rPr>
        <w:t>3.6.1</w:t>
      </w:r>
      <w:r>
        <w:rPr>
          <w:rStyle w:val="41"/>
          <w:rFonts w:eastAsia="楷体_GB2312"/>
          <w:color w:val="auto"/>
          <w:w w:val="0"/>
          <w:sz w:val="24"/>
          <w:u w:val="none"/>
        </w:rPr>
        <w:fldChar w:fldCharType="end"/>
      </w:r>
      <w:r>
        <w:rPr>
          <w:rStyle w:val="41"/>
          <w:rFonts w:eastAsia="楷体_GB2312"/>
          <w:color w:val="auto"/>
          <w:w w:val="0"/>
          <w:sz w:val="24"/>
          <w:u w:val="none"/>
        </w:rPr>
        <w:t>款的基础上，“委托人”应为“受益人”的利益，向“受托人”转让其对于</w:t>
      </w:r>
      <w:r>
        <w:t>相关</w:t>
      </w:r>
      <w:r>
        <w:rPr>
          <w:rStyle w:val="41"/>
          <w:rFonts w:eastAsia="楷体_GB2312"/>
          <w:color w:val="auto"/>
          <w:w w:val="0"/>
          <w:sz w:val="24"/>
          <w:u w:val="none"/>
        </w:rPr>
        <w:t>“账户记录”的（现时的和未来的、实际的和或有的）全部所有权和相关权益。自“信托生效日”起，全部“账户记录”的原件归“受托人”所有。自“信托生效日”起至“【发起机构简称】”停止担任“贷款服务机构”时止，该等“账户记录”应被视为已交付给作为“受托人”代理人的“贷款服务机构”。“贷款服务机构”应根据“《服务合同》”的约定管理相关“账户记录”。如果“委托人”根据“《服务合同》”的约定停止担任“贷款服务机构”，“委托人”应向“受托人”或其指定的“替代贷款服务机构”交付“账户记录”原件。</w:t>
      </w:r>
    </w:p>
    <w:p w14:paraId="19F515D7">
      <w:pPr>
        <w:numPr>
          <w:ilvl w:val="2"/>
          <w:numId w:val="4"/>
        </w:numPr>
        <w:tabs>
          <w:tab w:val="left" w:pos="900"/>
          <w:tab w:val="left" w:pos="1701"/>
        </w:tabs>
        <w:spacing w:before="156" w:beforeLines="50" w:after="156" w:afterLines="50" w:line="360" w:lineRule="auto"/>
        <w:ind w:left="1560" w:hanging="664"/>
        <w:rPr>
          <w:rStyle w:val="41"/>
          <w:rFonts w:eastAsia="楷体_GB2312"/>
          <w:color w:val="auto"/>
          <w:w w:val="0"/>
          <w:sz w:val="24"/>
          <w:u w:val="none"/>
        </w:rPr>
      </w:pPr>
      <w:bookmarkStart w:id="59" w:name="_Ref432773534"/>
      <w:bookmarkStart w:id="60" w:name="_Ref504398651"/>
      <w:r>
        <w:rPr>
          <w:rFonts w:eastAsia="楷体_GB2312"/>
          <w:sz w:val="24"/>
        </w:rPr>
        <w:t>“委托人”</w:t>
      </w:r>
      <w:r>
        <w:rPr>
          <w:rStyle w:val="41"/>
          <w:rFonts w:eastAsia="楷体_GB2312"/>
          <w:color w:val="auto"/>
          <w:w w:val="0"/>
          <w:sz w:val="24"/>
          <w:u w:val="none"/>
        </w:rPr>
        <w:t>应不迟于“信托财产交付日”后【】个“工作日”内将自“初始起算日”（含该日）起至“信托财产交付日”（不含该日）收到的所有“回收款”转入“信托账户”</w:t>
      </w:r>
      <w:bookmarkEnd w:id="59"/>
      <w:r>
        <w:rPr>
          <w:rStyle w:val="41"/>
          <w:rFonts w:eastAsia="楷体_GB2312"/>
          <w:color w:val="auto"/>
          <w:w w:val="0"/>
          <w:sz w:val="24"/>
          <w:u w:val="none"/>
        </w:rPr>
        <w:t>。</w:t>
      </w:r>
      <w:bookmarkEnd w:id="60"/>
    </w:p>
    <w:p w14:paraId="6A539592">
      <w:pPr>
        <w:tabs>
          <w:tab w:val="left" w:pos="1571"/>
        </w:tabs>
        <w:spacing w:before="156" w:beforeLines="50" w:after="156" w:afterLines="50" w:line="360" w:lineRule="auto"/>
        <w:ind w:left="1559"/>
        <w:rPr>
          <w:rStyle w:val="41"/>
          <w:rFonts w:eastAsia="楷体_GB2312"/>
          <w:b/>
          <w:i/>
          <w:color w:val="FF0000"/>
          <w:w w:val="0"/>
          <w:sz w:val="24"/>
          <w:u w:val="none"/>
        </w:rPr>
      </w:pPr>
      <w:r>
        <w:rPr>
          <w:rStyle w:val="41"/>
          <w:rFonts w:eastAsia="楷体_GB2312"/>
          <w:b/>
          <w:i/>
          <w:color w:val="FF0000"/>
          <w:w w:val="0"/>
          <w:sz w:val="24"/>
          <w:u w:val="none"/>
        </w:rPr>
        <w:t>【注：1、初始起算日（含该日）是否含该日可根据项目实际情况进行调整。2、初始起算日至信托财产交付日期间收到的相关利息等款项是否入池可根据项目实际情况进行调整。3、初始起算日至信托财产交付日期间的回收款交付的具体时点可根据实际情况进行合理地调整。】</w:t>
      </w:r>
    </w:p>
    <w:p w14:paraId="239DF249">
      <w:pPr>
        <w:numPr>
          <w:ilvl w:val="2"/>
          <w:numId w:val="4"/>
        </w:numPr>
        <w:tabs>
          <w:tab w:val="left" w:pos="900"/>
          <w:tab w:val="left" w:pos="1701"/>
        </w:tabs>
        <w:spacing w:before="156" w:beforeLines="50" w:after="156" w:afterLines="50" w:line="360" w:lineRule="auto"/>
        <w:ind w:left="1560" w:hanging="664"/>
        <w:rPr>
          <w:rFonts w:eastAsia="楷体_GB2312"/>
          <w:w w:val="0"/>
          <w:sz w:val="24"/>
        </w:rPr>
      </w:pPr>
      <w:r>
        <w:rPr>
          <w:rStyle w:val="41"/>
          <w:rFonts w:eastAsia="楷体_GB2312"/>
          <w:color w:val="auto"/>
          <w:w w:val="0"/>
          <w:sz w:val="24"/>
          <w:u w:val="none"/>
        </w:rPr>
        <w:t>在</w:t>
      </w:r>
      <w:r>
        <w:rPr>
          <w:rStyle w:val="41"/>
          <w:rFonts w:eastAsia="楷体_GB2312"/>
          <w:color w:val="auto"/>
          <w:sz w:val="24"/>
          <w:u w:val="none"/>
        </w:rPr>
        <w:t>“委托人”</w:t>
      </w:r>
      <w:r>
        <w:rPr>
          <w:rFonts w:eastAsia="楷体_GB2312"/>
          <w:w w:val="0"/>
          <w:sz w:val="24"/>
        </w:rPr>
        <w:t>收到“受托人”出具的确认函且“委托人”履行完毕本合同第</w:t>
      </w:r>
      <w:r>
        <w:rPr>
          <w:rFonts w:eastAsia="楷体_GB2312"/>
          <w:sz w:val="24"/>
        </w:rPr>
        <w:fldChar w:fldCharType="begin"/>
      </w:r>
      <w:r>
        <w:rPr>
          <w:rFonts w:eastAsia="楷体_GB2312"/>
          <w:sz w:val="24"/>
        </w:rPr>
        <w:instrText xml:space="preserve"> REF _Ref432773534 \r \h  \* MERGEFORMAT </w:instrText>
      </w:r>
      <w:r>
        <w:rPr>
          <w:rFonts w:eastAsia="楷体_GB2312"/>
          <w:sz w:val="24"/>
        </w:rPr>
        <w:fldChar w:fldCharType="separate"/>
      </w:r>
      <w:r>
        <w:rPr>
          <w:rFonts w:eastAsia="楷体_GB2312"/>
          <w:w w:val="0"/>
          <w:sz w:val="24"/>
        </w:rPr>
        <w:t>3.9.2</w:t>
      </w:r>
      <w:r>
        <w:rPr>
          <w:rFonts w:eastAsia="楷体_GB2312"/>
          <w:w w:val="0"/>
          <w:sz w:val="24"/>
        </w:rPr>
        <w:fldChar w:fldCharType="end"/>
      </w:r>
      <w:r>
        <w:rPr>
          <w:rFonts w:eastAsia="楷体_GB2312"/>
          <w:w w:val="0"/>
          <w:sz w:val="24"/>
        </w:rPr>
        <w:t>款</w:t>
      </w:r>
      <w:r>
        <w:rPr>
          <w:rStyle w:val="41"/>
          <w:rFonts w:eastAsia="楷体_GB2312"/>
          <w:color w:val="auto"/>
          <w:sz w:val="24"/>
          <w:u w:val="none"/>
        </w:rPr>
        <w:t>约定</w:t>
      </w:r>
      <w:r>
        <w:rPr>
          <w:rFonts w:eastAsia="楷体_GB2312"/>
          <w:w w:val="0"/>
          <w:sz w:val="24"/>
        </w:rPr>
        <w:t>的划款义务后，“信托财产”交付完毕。</w:t>
      </w:r>
    </w:p>
    <w:p w14:paraId="7D6491BD">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61" w:name="_Ref466149703"/>
      <w:bookmarkStart w:id="62" w:name="_Ref432774071"/>
      <w:r>
        <w:rPr>
          <w:rFonts w:eastAsia="楷体_GB2312"/>
          <w:b/>
          <w:sz w:val="24"/>
        </w:rPr>
        <w:t>资产池项下的抵押权和抵押权预告登记权益</w:t>
      </w:r>
      <w:bookmarkEnd w:id="61"/>
      <w:bookmarkEnd w:id="62"/>
    </w:p>
    <w:p w14:paraId="1637FAD8">
      <w:pPr>
        <w:tabs>
          <w:tab w:val="left" w:pos="992"/>
        </w:tabs>
        <w:spacing w:before="156" w:beforeLines="50" w:after="156" w:afterLines="50" w:line="360" w:lineRule="auto"/>
        <w:ind w:left="851"/>
        <w:outlineLvl w:val="1"/>
        <w:rPr>
          <w:rFonts w:eastAsia="楷体_GB2312"/>
          <w:b/>
          <w:i/>
          <w:color w:val="FF0000"/>
          <w:sz w:val="24"/>
        </w:rPr>
      </w:pPr>
      <w:r>
        <w:rPr>
          <w:rFonts w:eastAsia="楷体_GB2312"/>
          <w:b/>
          <w:i/>
          <w:color w:val="FF0000"/>
          <w:sz w:val="24"/>
        </w:rPr>
        <w:t>【注：</w:t>
      </w:r>
      <w:r>
        <w:rPr>
          <w:rFonts w:eastAsia="楷体_GB2312"/>
          <w:b/>
          <w:bCs/>
          <w:i/>
          <w:color w:val="FF0000"/>
          <w:sz w:val="24"/>
        </w:rPr>
        <w:t>入池贷款的附属权益类型（如抵押权、抵押权预告登记权益、质权、第三方保证、保证金等），可根据具体项目实际情况调整和确定。如涉及除抵押权、抵押权预告登记权益外的其他附属权益，该等附属权益的管理、转让等安排，可根据项目实际情况进行约定。</w:t>
      </w:r>
      <w:r>
        <w:rPr>
          <w:rFonts w:eastAsia="楷体_GB2312"/>
          <w:b/>
          <w:i/>
          <w:color w:val="FF0000"/>
          <w:sz w:val="24"/>
        </w:rPr>
        <w:t>】</w:t>
      </w:r>
    </w:p>
    <w:p w14:paraId="7C9EFB9E">
      <w:pPr>
        <w:numPr>
          <w:ilvl w:val="2"/>
          <w:numId w:val="4"/>
        </w:numPr>
        <w:tabs>
          <w:tab w:val="left" w:pos="1134"/>
          <w:tab w:val="left" w:pos="1701"/>
        </w:tabs>
        <w:spacing w:before="156" w:beforeLines="50" w:after="156" w:afterLines="50" w:line="360" w:lineRule="auto"/>
        <w:ind w:left="1560" w:hanging="664"/>
        <w:rPr>
          <w:rFonts w:eastAsia="楷体_GB2312"/>
          <w:b/>
          <w:sz w:val="24"/>
        </w:rPr>
      </w:pPr>
      <w:bookmarkStart w:id="63" w:name="_Ref520852930"/>
      <w:bookmarkStart w:id="64" w:name="_Ref432773620"/>
      <w:bookmarkStart w:id="65" w:name="_Hlk507251169"/>
      <w:r>
        <w:rPr>
          <w:rFonts w:eastAsia="楷体_GB2312"/>
          <w:b/>
          <w:sz w:val="24"/>
        </w:rPr>
        <w:t>抵押权预告登记</w:t>
      </w:r>
      <w:bookmarkEnd w:id="63"/>
    </w:p>
    <w:p w14:paraId="7A27E3B7">
      <w:pPr>
        <w:numPr>
          <w:ilvl w:val="0"/>
          <w:numId w:val="8"/>
        </w:numPr>
        <w:spacing w:before="156" w:beforeLines="50" w:after="156" w:afterLines="50" w:line="360" w:lineRule="auto"/>
        <w:rPr>
          <w:rFonts w:eastAsia="楷体_GB2312"/>
          <w:sz w:val="24"/>
        </w:rPr>
      </w:pPr>
      <w:bookmarkStart w:id="66" w:name="_Ref518590283"/>
      <w:bookmarkStart w:id="67" w:name="_Ref63095800"/>
      <w:r>
        <w:rPr>
          <w:rFonts w:eastAsia="楷体_GB2312"/>
          <w:sz w:val="24"/>
        </w:rPr>
        <w:t>就截至“信托生效日”仅办理抵押权预告登记但尚未办理“抵押权”设立登记的“抵押贷款”，“受托人”同意并授权“【发起机构简称】”继续以其自己名义代“受托人”持有“抵押权预告登记权益”</w:t>
      </w:r>
      <w:bookmarkEnd w:id="66"/>
      <w:r>
        <w:rPr>
          <w:rFonts w:eastAsia="楷体_GB2312"/>
          <w:sz w:val="24"/>
        </w:rPr>
        <w:t>。</w:t>
      </w:r>
      <w:bookmarkEnd w:id="67"/>
    </w:p>
    <w:p w14:paraId="6757E57B">
      <w:pPr>
        <w:numPr>
          <w:ilvl w:val="0"/>
          <w:numId w:val="8"/>
        </w:numPr>
        <w:spacing w:before="156" w:beforeLines="50" w:after="156" w:afterLines="50" w:line="360" w:lineRule="auto"/>
        <w:rPr>
          <w:rFonts w:eastAsia="楷体_GB2312"/>
          <w:sz w:val="24"/>
        </w:rPr>
      </w:pPr>
      <w:bookmarkStart w:id="68" w:name="_Ref518590293"/>
      <w:r>
        <w:rPr>
          <w:rFonts w:eastAsia="楷体_GB2312"/>
          <w:sz w:val="24"/>
        </w:rPr>
        <w:t>根据“中国”“法律”的规定，仅办理抵押权预告登记的“抵押贷款”在具备申请办理“抵押权”设立登记条件之日起</w:t>
      </w:r>
      <w:bookmarkStart w:id="69" w:name="_Hlk522884568"/>
      <w:r>
        <w:rPr>
          <w:rFonts w:eastAsia="楷体_GB2312"/>
          <w:sz w:val="24"/>
        </w:rPr>
        <w:t>【】个“工作日”</w:t>
      </w:r>
      <w:bookmarkEnd w:id="69"/>
      <w:r>
        <w:rPr>
          <w:rFonts w:eastAsia="楷体_GB2312"/>
          <w:sz w:val="24"/>
        </w:rPr>
        <w:t>内，“受托人”亦同意并授权“【发起机构简称】”以其自己名义将“抵押权”登记在“</w:t>
      </w:r>
      <w:bookmarkStart w:id="70" w:name="_Hlk507251205"/>
      <w:r>
        <w:rPr>
          <w:rFonts w:eastAsia="楷体_GB2312"/>
          <w:sz w:val="24"/>
        </w:rPr>
        <w:t>【发起机构简称】”</w:t>
      </w:r>
      <w:bookmarkEnd w:id="70"/>
      <w:r>
        <w:rPr>
          <w:rFonts w:eastAsia="楷体_GB2312"/>
          <w:sz w:val="24"/>
        </w:rPr>
        <w:t>名下，由“【发起机构简称】”代“受托人”持有并管理“抵押权”项下的权益。</w:t>
      </w:r>
      <w:bookmarkEnd w:id="68"/>
    </w:p>
    <w:p w14:paraId="320B7F38">
      <w:pPr>
        <w:numPr>
          <w:ilvl w:val="0"/>
          <w:numId w:val="8"/>
        </w:numPr>
        <w:spacing w:before="156" w:beforeLines="50" w:after="156" w:afterLines="50" w:line="360" w:lineRule="auto"/>
        <w:rPr>
          <w:rFonts w:eastAsia="楷体_GB2312"/>
          <w:sz w:val="24"/>
        </w:rPr>
      </w:pPr>
      <w:r>
        <w:rPr>
          <w:rFonts w:eastAsia="楷体_GB2312"/>
          <w:sz w:val="24"/>
        </w:rPr>
        <w:t>如果在发生任一“权利完善事件”时，则“受托人”有权终止对“【发起机构简称】”在本合同第</w:t>
      </w:r>
      <w:r>
        <w:rPr>
          <w:rFonts w:eastAsia="楷体_GB2312"/>
          <w:sz w:val="24"/>
        </w:rPr>
        <w:fldChar w:fldCharType="begin"/>
      </w:r>
      <w:r>
        <w:rPr>
          <w:rFonts w:eastAsia="楷体_GB2312"/>
          <w:sz w:val="24"/>
        </w:rPr>
        <w:instrText xml:space="preserve"> REF _Ref520852930 \r \h  \* MERGEFORMAT </w:instrText>
      </w:r>
      <w:r>
        <w:rPr>
          <w:rFonts w:eastAsia="楷体_GB2312"/>
          <w:sz w:val="24"/>
        </w:rPr>
        <w:fldChar w:fldCharType="separate"/>
      </w:r>
      <w:r>
        <w:rPr>
          <w:rFonts w:eastAsia="楷体_GB2312"/>
          <w:sz w:val="24"/>
        </w:rPr>
        <w:t>3.10.1</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 REF _Ref63095800 \r \h  \* MERGEFORMAT </w:instrText>
      </w:r>
      <w:r>
        <w:rPr>
          <w:rFonts w:eastAsia="楷体_GB2312"/>
          <w:sz w:val="24"/>
        </w:rPr>
        <w:fldChar w:fldCharType="separate"/>
      </w:r>
      <w:r>
        <w:rPr>
          <w:rFonts w:eastAsia="楷体_GB2312"/>
          <w:sz w:val="24"/>
        </w:rPr>
        <w:t>(1)</w:t>
      </w:r>
      <w:r>
        <w:rPr>
          <w:rFonts w:eastAsia="楷体_GB2312"/>
          <w:sz w:val="24"/>
        </w:rPr>
        <w:fldChar w:fldCharType="end"/>
      </w:r>
      <w:r>
        <w:rPr>
          <w:rFonts w:eastAsia="楷体_GB2312"/>
          <w:sz w:val="24"/>
        </w:rPr>
        <w:t>项和第</w:t>
      </w:r>
      <w:r>
        <w:rPr>
          <w:rFonts w:eastAsia="楷体_GB2312"/>
          <w:sz w:val="24"/>
        </w:rPr>
        <w:fldChar w:fldCharType="begin"/>
      </w:r>
      <w:r>
        <w:rPr>
          <w:rFonts w:eastAsia="楷体_GB2312"/>
          <w:sz w:val="24"/>
        </w:rPr>
        <w:instrText xml:space="preserve"> REF _Ref518590293 \r \h  \* MERGEFORMAT </w:instrText>
      </w:r>
      <w:r>
        <w:rPr>
          <w:rFonts w:eastAsia="楷体_GB2312"/>
          <w:sz w:val="24"/>
        </w:rPr>
        <w:fldChar w:fldCharType="separate"/>
      </w:r>
      <w:r>
        <w:rPr>
          <w:rFonts w:eastAsia="楷体_GB2312"/>
          <w:sz w:val="24"/>
        </w:rPr>
        <w:t>(2)</w:t>
      </w:r>
      <w:r>
        <w:rPr>
          <w:rFonts w:eastAsia="楷体_GB2312"/>
          <w:sz w:val="24"/>
        </w:rPr>
        <w:fldChar w:fldCharType="end"/>
      </w:r>
      <w:r>
        <w:rPr>
          <w:rFonts w:eastAsia="楷体_GB2312"/>
          <w:sz w:val="24"/>
        </w:rPr>
        <w:t>项下的授权。如果在发生任一“权利完善事件”时（“【发起机构简称】”发生“丧失清偿能力事件”除外），相关“抵押贷款”项下仍然未办理完毕“抵押权”设立登记手续，则“【发起机构简称】”仍应继续代“受托人”持有“抵押权预告登记权益”，直至办理完毕“抵押权”设立登记手续，并且于每笔“抵押贷款”的“抵押权”设立后立即将办理“抵押权”转移登记所必需的资料提交给“中国”有管辖权的“政府机构”登记部门办理相关“抵押贷款”一切必要的“抵押权”的转移登记手续，并于完成每笔“抵押贷款”的“抵押权”设立登记手续后【】个“工作日”内办理完毕转移登记手续，以确保“抵押权”登记在“受托人”名下。如果“【发起机构简称】”发生“丧失清偿能力事件”，则“【发起机构简称】”应立即办理“抵押权预告登记权益”转移登记手续，并于【】个“工作日”内办理完毕转移登记手续，以确保“抵押权”预告登记在“受托人”名下。</w:t>
      </w:r>
    </w:p>
    <w:p w14:paraId="7E1C5185">
      <w:pPr>
        <w:numPr>
          <w:ilvl w:val="0"/>
          <w:numId w:val="8"/>
        </w:numPr>
        <w:spacing w:before="156" w:beforeLines="50" w:after="156" w:afterLines="50" w:line="360" w:lineRule="auto"/>
        <w:rPr>
          <w:rFonts w:eastAsia="楷体_GB2312"/>
          <w:sz w:val="24"/>
        </w:rPr>
      </w:pPr>
      <w:r>
        <w:rPr>
          <w:rFonts w:eastAsia="楷体_GB2312"/>
          <w:sz w:val="24"/>
        </w:rPr>
        <w:t>上述办理相关登记的费用由“【发起机构简称】”承担。</w:t>
      </w:r>
      <w:bookmarkEnd w:id="64"/>
    </w:p>
    <w:p w14:paraId="1F7054C7">
      <w:pPr>
        <w:autoSpaceDE w:val="0"/>
        <w:autoSpaceDN w:val="0"/>
        <w:adjustRightInd w:val="0"/>
        <w:spacing w:before="156" w:beforeLines="50" w:after="156" w:afterLines="50" w:line="360" w:lineRule="auto"/>
        <w:ind w:left="1979"/>
        <w:rPr>
          <w:rFonts w:eastAsia="楷体_GB2312"/>
          <w:b/>
          <w:i/>
          <w:color w:val="FF0000"/>
          <w:sz w:val="24"/>
        </w:rPr>
      </w:pPr>
      <w:r>
        <w:rPr>
          <w:rFonts w:eastAsia="楷体_GB2312"/>
          <w:b/>
          <w:i/>
          <w:color w:val="FF0000"/>
          <w:sz w:val="24"/>
        </w:rPr>
        <w:t>【注：上述费用由发起机构承担，还是由信托财产承担，可根据项目实际情况进行调整。】</w:t>
      </w:r>
    </w:p>
    <w:p w14:paraId="33711AB4">
      <w:pPr>
        <w:numPr>
          <w:ilvl w:val="2"/>
          <w:numId w:val="4"/>
        </w:numPr>
        <w:tabs>
          <w:tab w:val="left" w:pos="1134"/>
          <w:tab w:val="left" w:pos="1701"/>
        </w:tabs>
        <w:spacing w:before="156" w:beforeLines="50" w:after="156" w:afterLines="50" w:line="360" w:lineRule="auto"/>
        <w:ind w:left="1560" w:hanging="664"/>
        <w:rPr>
          <w:rFonts w:eastAsia="楷体_GB2312"/>
          <w:b/>
          <w:sz w:val="24"/>
        </w:rPr>
      </w:pPr>
      <w:bookmarkStart w:id="71" w:name="_Ref432773679"/>
      <w:r>
        <w:rPr>
          <w:rFonts w:eastAsia="楷体_GB2312"/>
          <w:b/>
          <w:bCs/>
          <w:sz w:val="24"/>
        </w:rPr>
        <w:t>抵押</w:t>
      </w:r>
      <w:r>
        <w:rPr>
          <w:rFonts w:eastAsia="楷体_GB2312"/>
          <w:b/>
          <w:sz w:val="24"/>
        </w:rPr>
        <w:t>权</w:t>
      </w:r>
    </w:p>
    <w:p w14:paraId="151A3F03">
      <w:pPr>
        <w:numPr>
          <w:ilvl w:val="0"/>
          <w:numId w:val="9"/>
        </w:numPr>
        <w:spacing w:before="156" w:beforeLines="50" w:after="156" w:afterLines="50" w:line="360" w:lineRule="auto"/>
        <w:rPr>
          <w:rFonts w:eastAsia="楷体_GB2312"/>
          <w:sz w:val="24"/>
        </w:rPr>
      </w:pPr>
      <w:bookmarkStart w:id="72" w:name="_Ref520852939"/>
      <w:r>
        <w:rPr>
          <w:rFonts w:eastAsia="楷体_GB2312"/>
          <w:sz w:val="24"/>
        </w:rPr>
        <w:t>就截至“信托生效日”已办理完毕“抵押权”设立登记以及在“信托”存续期间根据本合同第</w:t>
      </w:r>
      <w:r>
        <w:rPr>
          <w:rFonts w:eastAsia="楷体_GB2312"/>
          <w:sz w:val="24"/>
        </w:rPr>
        <w:fldChar w:fldCharType="begin"/>
      </w:r>
      <w:r>
        <w:rPr>
          <w:rFonts w:eastAsia="楷体_GB2312"/>
          <w:sz w:val="24"/>
        </w:rPr>
        <w:instrText xml:space="preserve"> REF _Ref432773620 \r \h  \* MERGEFORMAT </w:instrText>
      </w:r>
      <w:r>
        <w:rPr>
          <w:rFonts w:eastAsia="楷体_GB2312"/>
          <w:sz w:val="24"/>
        </w:rPr>
        <w:fldChar w:fldCharType="separate"/>
      </w:r>
      <w:r>
        <w:rPr>
          <w:rFonts w:eastAsia="楷体_GB2312"/>
          <w:sz w:val="24"/>
        </w:rPr>
        <w:t>3.10.1</w:t>
      </w:r>
      <w:r>
        <w:rPr>
          <w:rFonts w:eastAsia="楷体_GB2312"/>
          <w:sz w:val="24"/>
        </w:rPr>
        <w:fldChar w:fldCharType="end"/>
      </w:r>
      <w:r>
        <w:rPr>
          <w:rFonts w:eastAsia="楷体_GB2312"/>
          <w:sz w:val="24"/>
        </w:rPr>
        <w:t>款的约定办理完毕“抵押权”设立登记的“抵押贷款”，“【发起机构简称】”和“受托人”应根据“中国”“法律”的规定，于任一“权利完善事件”发生后【】个“工作日”内将办理“抵押权”转移登记所必需的资料提交给“中国”有管辖权的“政府机构”登记部门办理相关“抵押贷款”一切必要的“抵押权”的转移登记手续，并于“权利完善事件”发生之后【】个“工作日”内办理完毕转移登记手续，以确保“抵押权”登记在“受托人”名下。</w:t>
      </w:r>
      <w:bookmarkEnd w:id="72"/>
    </w:p>
    <w:p w14:paraId="2AF024D7">
      <w:pPr>
        <w:numPr>
          <w:ilvl w:val="0"/>
          <w:numId w:val="9"/>
        </w:numPr>
        <w:spacing w:before="156" w:beforeLines="50" w:after="156" w:afterLines="50" w:line="360" w:lineRule="auto"/>
        <w:rPr>
          <w:rFonts w:eastAsia="楷体_GB2312"/>
          <w:sz w:val="24"/>
        </w:rPr>
      </w:pPr>
      <w:bookmarkStart w:id="73" w:name="_Ref520852950"/>
      <w:r>
        <w:rPr>
          <w:rFonts w:eastAsia="楷体_GB2312"/>
          <w:sz w:val="24"/>
        </w:rPr>
        <w:t>上述“抵押权”转移登记所发生的相关费用由“【发起机构简称】”承担。</w:t>
      </w:r>
      <w:bookmarkEnd w:id="71"/>
      <w:bookmarkEnd w:id="73"/>
    </w:p>
    <w:p w14:paraId="59C22246">
      <w:pPr>
        <w:autoSpaceDE w:val="0"/>
        <w:autoSpaceDN w:val="0"/>
        <w:adjustRightInd w:val="0"/>
        <w:spacing w:before="156" w:beforeLines="50" w:after="156" w:afterLines="50" w:line="360" w:lineRule="auto"/>
        <w:ind w:left="1979"/>
        <w:rPr>
          <w:rFonts w:eastAsia="楷体_GB2312"/>
          <w:b/>
          <w:i/>
          <w:color w:val="FF0000"/>
          <w:sz w:val="24"/>
        </w:rPr>
      </w:pPr>
      <w:r>
        <w:rPr>
          <w:rFonts w:eastAsia="楷体_GB2312"/>
          <w:b/>
          <w:i/>
          <w:color w:val="FF0000"/>
          <w:sz w:val="24"/>
        </w:rPr>
        <w:t>【注：上述费用由发起机构承担，还是由信托财产承担，可根据项目实际情况进行调整。】</w:t>
      </w:r>
    </w:p>
    <w:p w14:paraId="07A9ACED">
      <w:pPr>
        <w:numPr>
          <w:ilvl w:val="2"/>
          <w:numId w:val="4"/>
        </w:numPr>
        <w:tabs>
          <w:tab w:val="left" w:pos="1134"/>
          <w:tab w:val="left" w:pos="1701"/>
        </w:tabs>
        <w:spacing w:before="156" w:beforeLines="50" w:after="156" w:afterLines="50" w:line="360" w:lineRule="auto"/>
        <w:ind w:left="1560" w:hanging="664"/>
        <w:rPr>
          <w:rFonts w:eastAsia="楷体_GB2312"/>
          <w:sz w:val="24"/>
        </w:rPr>
      </w:pPr>
      <w:bookmarkStart w:id="74" w:name="_Ref432773683"/>
      <w:r>
        <w:rPr>
          <w:rFonts w:eastAsia="楷体_GB2312"/>
          <w:sz w:val="24"/>
        </w:rPr>
        <w:t>除发生“权利完善事件”外，在“贷款服务机构”回收“抵押贷款”且在主张“抵押权”或“抵押权预告登记权益”时，“贷款服务机构”的权利人地位</w:t>
      </w:r>
      <w:r>
        <w:rPr>
          <w:rFonts w:eastAsia="楷体_GB2312"/>
          <w:bCs/>
          <w:sz w:val="24"/>
        </w:rPr>
        <w:t>受到</w:t>
      </w:r>
      <w:r>
        <w:rPr>
          <w:rFonts w:eastAsia="楷体_GB2312"/>
          <w:sz w:val="24"/>
        </w:rPr>
        <w:t>质疑而无法实际行使相关权利时，“委托人”应根据“贷款服务机构”或“受托人”管理“信贷资产”的需要，在上述情况发生之后【】个“工作日”内为“受托人”办理完毕“抵押权”或“抵押权预告登记权益”的转移登记手续，相关费用由“【发起机构简称】”承担。</w:t>
      </w:r>
      <w:bookmarkEnd w:id="74"/>
    </w:p>
    <w:p w14:paraId="135BBD3E">
      <w:pPr>
        <w:autoSpaceDE w:val="0"/>
        <w:autoSpaceDN w:val="0"/>
        <w:adjustRightInd w:val="0"/>
        <w:spacing w:before="156" w:beforeLines="50" w:after="156" w:afterLines="50" w:line="360" w:lineRule="auto"/>
        <w:ind w:left="1559"/>
        <w:rPr>
          <w:rFonts w:eastAsia="楷体_GB2312"/>
          <w:b/>
          <w:i/>
          <w:color w:val="FF0000"/>
          <w:sz w:val="24"/>
        </w:rPr>
      </w:pPr>
      <w:r>
        <w:rPr>
          <w:rFonts w:eastAsia="楷体_GB2312"/>
          <w:b/>
          <w:i/>
          <w:color w:val="FF0000"/>
          <w:sz w:val="24"/>
        </w:rPr>
        <w:t>【注：上述费用由发起机构承担，还是由信托财产承担，可根据项目实际情况进行调整。】</w:t>
      </w:r>
    </w:p>
    <w:p w14:paraId="4177AF64">
      <w:pPr>
        <w:numPr>
          <w:ilvl w:val="2"/>
          <w:numId w:val="4"/>
        </w:numPr>
        <w:tabs>
          <w:tab w:val="left" w:pos="1134"/>
          <w:tab w:val="left" w:pos="1701"/>
        </w:tabs>
        <w:spacing w:before="156" w:beforeLines="50" w:after="156" w:afterLines="50" w:line="360" w:lineRule="auto"/>
        <w:ind w:left="1560" w:hanging="664"/>
        <w:rPr>
          <w:rFonts w:eastAsia="楷体_GB2312"/>
          <w:sz w:val="24"/>
        </w:rPr>
      </w:pPr>
      <w:r>
        <w:rPr>
          <w:rFonts w:eastAsia="楷体_GB2312"/>
          <w:sz w:val="24"/>
        </w:rPr>
        <w:t>如果在本合同第</w:t>
      </w:r>
      <w:r>
        <w:rPr>
          <w:rFonts w:eastAsia="楷体_GB2312"/>
          <w:sz w:val="24"/>
        </w:rPr>
        <w:fldChar w:fldCharType="begin"/>
      </w:r>
      <w:r>
        <w:rPr>
          <w:rFonts w:eastAsia="楷体_GB2312"/>
          <w:sz w:val="24"/>
        </w:rPr>
        <w:instrText xml:space="preserve"> REF _Ref432773620 \r \h  \* MERGEFORMAT </w:instrText>
      </w:r>
      <w:r>
        <w:rPr>
          <w:rFonts w:eastAsia="楷体_GB2312"/>
          <w:sz w:val="24"/>
        </w:rPr>
        <w:fldChar w:fldCharType="separate"/>
      </w:r>
      <w:r>
        <w:rPr>
          <w:rFonts w:eastAsia="楷体_GB2312"/>
          <w:sz w:val="24"/>
        </w:rPr>
        <w:t>3.10.1</w:t>
      </w:r>
      <w:r>
        <w:rPr>
          <w:rFonts w:eastAsia="楷体_GB2312"/>
          <w:sz w:val="24"/>
        </w:rPr>
        <w:fldChar w:fldCharType="end"/>
      </w:r>
      <w:r>
        <w:rPr>
          <w:rFonts w:eastAsia="楷体_GB2312"/>
          <w:sz w:val="24"/>
        </w:rPr>
        <w:t>款或第</w:t>
      </w:r>
      <w:r>
        <w:rPr>
          <w:rFonts w:eastAsia="楷体_GB2312"/>
          <w:sz w:val="24"/>
        </w:rPr>
        <w:fldChar w:fldCharType="begin"/>
      </w:r>
      <w:r>
        <w:rPr>
          <w:rFonts w:eastAsia="楷体_GB2312"/>
          <w:sz w:val="24"/>
        </w:rPr>
        <w:instrText xml:space="preserve"> REF _Ref432773679 \r \h  \* MERGEFORMAT </w:instrText>
      </w:r>
      <w:r>
        <w:rPr>
          <w:rFonts w:eastAsia="楷体_GB2312"/>
          <w:sz w:val="24"/>
        </w:rPr>
        <w:fldChar w:fldCharType="separate"/>
      </w:r>
      <w:r>
        <w:rPr>
          <w:rFonts w:eastAsia="楷体_GB2312"/>
          <w:sz w:val="24"/>
        </w:rPr>
        <w:t>3.10.2</w:t>
      </w:r>
      <w:r>
        <w:rPr>
          <w:rFonts w:eastAsia="楷体_GB2312"/>
          <w:sz w:val="24"/>
        </w:rPr>
        <w:fldChar w:fldCharType="end"/>
      </w:r>
      <w:r>
        <w:rPr>
          <w:rFonts w:eastAsia="楷体_GB2312"/>
          <w:sz w:val="24"/>
        </w:rPr>
        <w:t>款或第</w:t>
      </w:r>
      <w:r>
        <w:rPr>
          <w:rFonts w:eastAsia="楷体_GB2312"/>
          <w:sz w:val="24"/>
        </w:rPr>
        <w:fldChar w:fldCharType="begin"/>
      </w:r>
      <w:r>
        <w:rPr>
          <w:rFonts w:eastAsia="楷体_GB2312"/>
          <w:sz w:val="24"/>
        </w:rPr>
        <w:instrText xml:space="preserve"> REF _Ref432773683 \r \h  \* MERGEFORMAT </w:instrText>
      </w:r>
      <w:r>
        <w:rPr>
          <w:rFonts w:eastAsia="楷体_GB2312"/>
          <w:sz w:val="24"/>
        </w:rPr>
        <w:fldChar w:fldCharType="separate"/>
      </w:r>
      <w:r>
        <w:rPr>
          <w:rFonts w:eastAsia="楷体_GB2312"/>
          <w:sz w:val="24"/>
        </w:rPr>
        <w:t>3.10.3</w:t>
      </w:r>
      <w:r>
        <w:rPr>
          <w:rFonts w:eastAsia="楷体_GB2312"/>
          <w:sz w:val="24"/>
        </w:rPr>
        <w:fldChar w:fldCharType="end"/>
      </w:r>
      <w:r>
        <w:rPr>
          <w:rFonts w:eastAsia="楷体_GB2312"/>
          <w:sz w:val="24"/>
        </w:rPr>
        <w:t>款约定的期限内未能办理完毕相关“抵押贷款”项下的“抵押权”设立登记手续，或未能办理完毕相关“抵押贷款”项下的“抵押权”或“抵押权预告登记权益”的转移登记手续，则采取以下补救措施：</w:t>
      </w:r>
    </w:p>
    <w:p w14:paraId="27906E30">
      <w:pPr>
        <w:numPr>
          <w:ilvl w:val="0"/>
          <w:numId w:val="10"/>
        </w:numPr>
        <w:spacing w:before="156" w:beforeLines="50" w:after="156" w:afterLines="50" w:line="360" w:lineRule="auto"/>
        <w:rPr>
          <w:rFonts w:eastAsia="楷体_GB2312"/>
          <w:sz w:val="24"/>
        </w:rPr>
      </w:pPr>
      <w:r>
        <w:rPr>
          <w:rFonts w:eastAsia="楷体_GB2312"/>
          <w:sz w:val="24"/>
        </w:rPr>
        <w:t>就截至“信托生效日”仅办理预告登记但尚未办理“抵押权”设立登记的“信贷资产”，如果由于“信托生效日”前已存在的任何原因或者由于“【发起机构简称】”的故意或过失在“抵押权”设立登记条件完备之日起【】个“工作日”内未能办理完毕相应的“抵押权”设立登记手续，导致预告登记失效、“抵押权”未能设立的，则“【发起机构简称】”应将该等“抵押贷款”作为“不合格信贷资产”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条的约定予以“赎回”；</w:t>
      </w:r>
    </w:p>
    <w:p w14:paraId="6ADFFFA0">
      <w:pPr>
        <w:numPr>
          <w:ilvl w:val="0"/>
          <w:numId w:val="10"/>
        </w:numPr>
        <w:spacing w:before="156" w:beforeLines="50" w:after="156" w:afterLines="50" w:line="360" w:lineRule="auto"/>
        <w:rPr>
          <w:rFonts w:eastAsia="楷体_GB2312"/>
          <w:sz w:val="24"/>
        </w:rPr>
      </w:pPr>
      <w:r>
        <w:rPr>
          <w:rFonts w:eastAsia="楷体_GB2312"/>
          <w:sz w:val="24"/>
        </w:rPr>
        <w:t>如果由于“信托生效日”前已存在的任何原因导致在前述限定期限内未能办理完毕相关“抵押贷款”项下的“抵押权”或“抵押权预告登记权益”的转移登记手续，则“【发起机构简称】”应将该等“抵押贷款”作为“不合格信贷资产”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条的约定予以“赎回”；</w:t>
      </w:r>
    </w:p>
    <w:p w14:paraId="2E5E9550">
      <w:pPr>
        <w:numPr>
          <w:ilvl w:val="0"/>
          <w:numId w:val="10"/>
        </w:numPr>
        <w:spacing w:before="156" w:beforeLines="50" w:after="156" w:afterLines="50" w:line="360" w:lineRule="auto"/>
        <w:rPr>
          <w:rFonts w:eastAsia="楷体_GB2312"/>
          <w:w w:val="0"/>
          <w:sz w:val="24"/>
        </w:rPr>
      </w:pPr>
      <w:r>
        <w:rPr>
          <w:rFonts w:eastAsia="楷体_GB2312"/>
          <w:sz w:val="24"/>
        </w:rPr>
        <w:t>如果由于“信托生效日”后“【发起机构简称】”的原因导致在前述限定期限内未能办理完毕相关“抵押贷款”项下的“抵押权”或“抵押权预告登记权益”的转移登记手续，则“【发起机构简称】”</w:t>
      </w:r>
      <w:r>
        <w:rPr>
          <w:rFonts w:hint="eastAsia" w:eastAsia="楷体_GB2312"/>
          <w:sz w:val="24"/>
        </w:rPr>
        <w:t>应当</w:t>
      </w:r>
      <w:r>
        <w:rPr>
          <w:rFonts w:eastAsia="楷体_GB2312"/>
          <w:sz w:val="24"/>
        </w:rPr>
        <w:t>有权选择如下任一措施对其未能及时办理抵押转移登记手续的行为予以补救：(a)承担因此给“受托人”或“信托财产”造成的实际损失；(b)参照本合同第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约定的“赎回”条款“赎回”相关“信贷资产”并支付“赎回价格”及履行“赎回”条款项下的相关手续；(c)双方届时商定的其他方式。如果“【发起机构简称】”在前述限定期限届满之日起【】个“工作日”内未作出选择，则“受托人”有权书面通知“【发起机构简称】”要求“【发起机构简称】”采取上述补救措施(a)或(b)，“【发起机构简称】”应根据“受托人”书面通知载明的期限和内容履行相应的补救义务。如果“【发起机构简称】”选择上述补救措施(a)，则“受托人”应在实际损失发生之日起【】个“工作日”内书面通知“【发起机构简称】”实际损失的金额，如“【发起机构简称】”与“受托人”在实际损失发生之日起【】个“工作日”内无法就实际损失的金额达成一致的，则“受托人”有权要求“【发起机构简称】”采取上述补救措施(b)；</w:t>
      </w:r>
    </w:p>
    <w:p w14:paraId="7D92DF06">
      <w:pPr>
        <w:numPr>
          <w:ilvl w:val="0"/>
          <w:numId w:val="10"/>
        </w:numPr>
        <w:spacing w:before="156" w:beforeLines="50" w:after="156" w:afterLines="50" w:line="360" w:lineRule="auto"/>
        <w:rPr>
          <w:rFonts w:eastAsia="楷体_GB2312"/>
          <w:w w:val="0"/>
          <w:sz w:val="24"/>
        </w:rPr>
      </w:pPr>
      <w:r>
        <w:rPr>
          <w:rFonts w:eastAsia="楷体_GB2312"/>
          <w:w w:val="0"/>
          <w:sz w:val="24"/>
        </w:rPr>
        <w:t>如果由于</w:t>
      </w:r>
      <w:r>
        <w:rPr>
          <w:rFonts w:eastAsia="楷体_GB2312"/>
          <w:sz w:val="24"/>
        </w:rPr>
        <w:t>“信托生效日”后非“【发起机构简称】”</w:t>
      </w:r>
      <w:r>
        <w:rPr>
          <w:rFonts w:eastAsia="楷体_GB2312"/>
          <w:w w:val="0"/>
          <w:sz w:val="24"/>
        </w:rPr>
        <w:t>或</w:t>
      </w:r>
      <w:r>
        <w:rPr>
          <w:rFonts w:eastAsia="楷体_GB2312"/>
          <w:sz w:val="24"/>
        </w:rPr>
        <w:t>“</w:t>
      </w:r>
      <w:r>
        <w:rPr>
          <w:rFonts w:eastAsia="楷体_GB2312"/>
          <w:w w:val="0"/>
          <w:sz w:val="24"/>
        </w:rPr>
        <w:t>受托人</w:t>
      </w:r>
      <w:r>
        <w:rPr>
          <w:rFonts w:eastAsia="楷体_GB2312"/>
          <w:sz w:val="24"/>
        </w:rPr>
        <w:t>”</w:t>
      </w:r>
      <w:r>
        <w:rPr>
          <w:rFonts w:eastAsia="楷体_GB2312"/>
          <w:w w:val="0"/>
          <w:sz w:val="24"/>
        </w:rPr>
        <w:t>的原因导致在前述限定期限内未能办理完毕相关“抵押贷款”项下的“抵押权”设立登记手续，或未能办理完毕相关“抵押贷款”项下的“抵押</w:t>
      </w:r>
      <w:r>
        <w:rPr>
          <w:rFonts w:eastAsia="楷体_GB2312"/>
          <w:sz w:val="24"/>
        </w:rPr>
        <w:t>权”</w:t>
      </w:r>
      <w:r>
        <w:rPr>
          <w:rFonts w:eastAsia="楷体_GB2312"/>
          <w:w w:val="0"/>
          <w:sz w:val="24"/>
        </w:rPr>
        <w:t>或“抵押权预告登记权益”的转移登记手续，则“</w:t>
      </w:r>
      <w:r>
        <w:rPr>
          <w:rFonts w:eastAsia="楷体_GB2312"/>
          <w:sz w:val="24"/>
        </w:rPr>
        <w:t>【发起机构简称】</w:t>
      </w:r>
      <w:r>
        <w:rPr>
          <w:rFonts w:eastAsia="楷体_GB2312"/>
          <w:w w:val="0"/>
          <w:sz w:val="24"/>
        </w:rPr>
        <w:t>”应根据“受托人”的合理要求采取相应的措施以维护“受托人”对于“抵押贷款”、“抵押房产”的正当权利、权益或利益，相关费用由“信托财产”承担。</w:t>
      </w:r>
      <w:bookmarkEnd w:id="65"/>
    </w:p>
    <w:p w14:paraId="0682D588">
      <w:pPr>
        <w:numPr>
          <w:ilvl w:val="2"/>
          <w:numId w:val="4"/>
        </w:numPr>
        <w:tabs>
          <w:tab w:val="left" w:pos="900"/>
          <w:tab w:val="left" w:pos="1701"/>
        </w:tabs>
        <w:spacing w:before="156" w:beforeLines="50" w:after="156" w:afterLines="50" w:line="360" w:lineRule="auto"/>
        <w:ind w:left="1560" w:hanging="709"/>
        <w:rPr>
          <w:rFonts w:eastAsia="楷体_GB2312"/>
          <w:w w:val="0"/>
          <w:sz w:val="24"/>
        </w:rPr>
      </w:pPr>
      <w:r>
        <w:rPr>
          <w:rFonts w:eastAsia="楷体_GB2312"/>
          <w:w w:val="0"/>
          <w:sz w:val="24"/>
        </w:rPr>
        <w:t>在“抵押权”、“抵押权预告登记权益”转移登记至“受托人”名下之前，出现善意第三人对“抵押房产”主张所有权或担保权利，而“受托人”所享有的“抵押权”、“抵押权预告登记权益”无法对抗善意第三人的，则“【发起机构简称】”应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w w:val="0"/>
          <w:sz w:val="24"/>
        </w:rPr>
        <w:t>12</w:t>
      </w:r>
      <w:r>
        <w:rPr>
          <w:rFonts w:eastAsia="楷体_GB2312"/>
          <w:w w:val="0"/>
          <w:sz w:val="24"/>
        </w:rPr>
        <w:fldChar w:fldCharType="end"/>
      </w:r>
      <w:r>
        <w:rPr>
          <w:rFonts w:eastAsia="楷体_GB2312"/>
          <w:w w:val="0"/>
          <w:sz w:val="24"/>
        </w:rPr>
        <w:t>条的约定将该等“抵押贷款”</w:t>
      </w:r>
      <w:r>
        <w:rPr>
          <w:rFonts w:eastAsia="楷体_GB2312"/>
          <w:sz w:val="24"/>
        </w:rPr>
        <w:t>作为“不合格信贷资产”</w:t>
      </w:r>
      <w:r>
        <w:rPr>
          <w:rFonts w:eastAsia="楷体_GB2312"/>
          <w:w w:val="0"/>
          <w:sz w:val="24"/>
        </w:rPr>
        <w:t>予以</w:t>
      </w:r>
      <w:r>
        <w:rPr>
          <w:rFonts w:eastAsia="楷体_GB2312"/>
          <w:sz w:val="24"/>
        </w:rPr>
        <w:t>“赎回”</w:t>
      </w:r>
      <w:r>
        <w:rPr>
          <w:rFonts w:eastAsia="楷体_GB2312"/>
          <w:w w:val="0"/>
          <w:sz w:val="24"/>
        </w:rPr>
        <w:t>。</w:t>
      </w:r>
    </w:p>
    <w:p w14:paraId="644668B1">
      <w:pPr>
        <w:autoSpaceDE w:val="0"/>
        <w:autoSpaceDN w:val="0"/>
        <w:adjustRightInd w:val="0"/>
        <w:spacing w:before="156" w:beforeLines="50" w:after="156" w:afterLines="50" w:line="360" w:lineRule="auto"/>
        <w:ind w:left="1559"/>
        <w:rPr>
          <w:rFonts w:eastAsia="楷体_GB2312"/>
          <w:b/>
          <w:i/>
          <w:color w:val="FF0000"/>
          <w:w w:val="0"/>
          <w:sz w:val="24"/>
        </w:rPr>
      </w:pPr>
      <w:r>
        <w:rPr>
          <w:rFonts w:eastAsia="楷体_GB2312"/>
          <w:b/>
          <w:bCs/>
          <w:i/>
          <w:color w:val="FF0000"/>
          <w:sz w:val="24"/>
        </w:rPr>
        <w:t>【注：关于抵押权或抵押权预告登记权益的转移登记的相关安排、时间期限及费用承担方式，可根据项目实际情况进行调整。】</w:t>
      </w:r>
    </w:p>
    <w:bookmarkEnd w:id="55"/>
    <w:bookmarkEnd w:id="56"/>
    <w:p w14:paraId="7C2B4788">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75" w:name="_Ref111342673"/>
      <w:r>
        <w:rPr>
          <w:rFonts w:eastAsia="楷体_GB2312"/>
          <w:b/>
          <w:sz w:val="24"/>
        </w:rPr>
        <w:t>资产支持证券募集资金净额的支付</w:t>
      </w:r>
      <w:bookmarkEnd w:id="75"/>
    </w:p>
    <w:p w14:paraId="23642891">
      <w:pPr>
        <w:spacing w:before="156" w:beforeLines="50" w:after="156" w:afterLines="50" w:line="360" w:lineRule="auto"/>
        <w:ind w:left="851"/>
        <w:rPr>
          <w:rFonts w:eastAsia="楷体_GB2312"/>
          <w:sz w:val="24"/>
          <w:lang w:val="en-GB"/>
        </w:rPr>
      </w:pPr>
      <w:bookmarkStart w:id="76" w:name="_Hlk507251263"/>
      <w:r>
        <w:rPr>
          <w:rFonts w:eastAsia="楷体_GB2312"/>
          <w:sz w:val="24"/>
        </w:rPr>
        <w:t>在“</w:t>
      </w:r>
      <w:r>
        <w:rPr>
          <w:rFonts w:eastAsia="楷体_GB2312"/>
          <w:sz w:val="24"/>
          <w:lang w:val="en-GB"/>
        </w:rPr>
        <w:t>委托人</w:t>
      </w:r>
      <w:r>
        <w:rPr>
          <w:rFonts w:eastAsia="楷体_GB2312"/>
          <w:sz w:val="24"/>
        </w:rPr>
        <w:t>”按照本合同的约定交付全部“信托财产”的情况下，“</w:t>
      </w:r>
      <w:r>
        <w:rPr>
          <w:rFonts w:eastAsia="楷体_GB2312"/>
          <w:sz w:val="24"/>
          <w:lang w:val="en-GB"/>
        </w:rPr>
        <w:t>受托人</w:t>
      </w:r>
      <w:r>
        <w:rPr>
          <w:rFonts w:eastAsia="楷体_GB2312"/>
          <w:sz w:val="24"/>
        </w:rPr>
        <w:t>”</w:t>
      </w:r>
      <w:r>
        <w:rPr>
          <w:rFonts w:eastAsia="楷体_GB2312"/>
          <w:sz w:val="24"/>
          <w:lang w:val="en-GB"/>
        </w:rPr>
        <w:t>应不迟于</w:t>
      </w:r>
      <w:r>
        <w:rPr>
          <w:rFonts w:eastAsia="楷体_GB2312"/>
          <w:sz w:val="24"/>
        </w:rPr>
        <w:t>“</w:t>
      </w:r>
      <w:r>
        <w:rPr>
          <w:rFonts w:eastAsia="楷体_GB2312"/>
          <w:sz w:val="24"/>
          <w:lang w:val="en-GB"/>
        </w:rPr>
        <w:t>信托财产交付日</w:t>
      </w:r>
      <w:r>
        <w:rPr>
          <w:rFonts w:eastAsia="楷体_GB2312"/>
          <w:sz w:val="24"/>
        </w:rPr>
        <w:t>”</w:t>
      </w:r>
      <w:r>
        <w:rPr>
          <w:rFonts w:eastAsia="楷体_GB2312"/>
          <w:sz w:val="24"/>
          <w:lang w:val="en-GB"/>
        </w:rPr>
        <w:t>（北京时间）【】点，将</w:t>
      </w:r>
      <w:r>
        <w:rPr>
          <w:rFonts w:eastAsia="楷体_GB2312"/>
          <w:sz w:val="24"/>
        </w:rPr>
        <w:t>“</w:t>
      </w:r>
      <w:r>
        <w:rPr>
          <w:rFonts w:eastAsia="楷体_GB2312"/>
          <w:sz w:val="24"/>
          <w:lang w:val="en-GB"/>
        </w:rPr>
        <w:t>资产支持证券募集资金净额</w:t>
      </w:r>
      <w:r>
        <w:rPr>
          <w:rFonts w:eastAsia="楷体_GB2312"/>
          <w:sz w:val="24"/>
        </w:rPr>
        <w:t>”</w:t>
      </w:r>
      <w:r>
        <w:rPr>
          <w:rFonts w:eastAsia="楷体_GB2312"/>
          <w:sz w:val="24"/>
          <w:lang w:val="en-GB"/>
        </w:rPr>
        <w:t>支付至</w:t>
      </w:r>
      <w:r>
        <w:rPr>
          <w:rFonts w:eastAsia="楷体_GB2312"/>
          <w:sz w:val="24"/>
        </w:rPr>
        <w:t>“</w:t>
      </w:r>
      <w:r>
        <w:rPr>
          <w:rFonts w:eastAsia="楷体_GB2312"/>
          <w:sz w:val="24"/>
          <w:lang w:val="en-GB"/>
        </w:rPr>
        <w:t>委托人</w:t>
      </w:r>
      <w:r>
        <w:rPr>
          <w:rFonts w:eastAsia="楷体_GB2312"/>
          <w:sz w:val="24"/>
        </w:rPr>
        <w:t>”</w:t>
      </w:r>
      <w:r>
        <w:rPr>
          <w:rFonts w:eastAsia="楷体_GB2312"/>
          <w:sz w:val="24"/>
          <w:lang w:val="en-GB"/>
        </w:rPr>
        <w:t>指定账户。</w:t>
      </w:r>
    </w:p>
    <w:p w14:paraId="5474F567">
      <w:pPr>
        <w:spacing w:before="156" w:beforeLines="50" w:after="156" w:afterLines="50" w:line="360" w:lineRule="auto"/>
        <w:ind w:left="851"/>
        <w:rPr>
          <w:rFonts w:eastAsia="楷体_GB2312"/>
          <w:b/>
          <w:i/>
          <w:color w:val="FF0000"/>
          <w:sz w:val="24"/>
        </w:rPr>
      </w:pPr>
      <w:r>
        <w:rPr>
          <w:rFonts w:eastAsia="楷体_GB2312"/>
          <w:b/>
          <w:i/>
          <w:color w:val="FF0000"/>
          <w:sz w:val="24"/>
        </w:rPr>
        <w:t>【注：1、资产支持证券募集资金的支付方式，可根据项目实际情况进行调整。2、如资产支持证券募集资金中不存在需要扣除的费用，则可将资产支持证券募集资金净额相关表述调整为资产支持证券募集资金。】</w:t>
      </w:r>
    </w:p>
    <w:p w14:paraId="25F74923">
      <w:pPr>
        <w:spacing w:before="156" w:beforeLines="50" w:after="156" w:afterLines="50" w:line="360" w:lineRule="auto"/>
        <w:ind w:left="851"/>
        <w:rPr>
          <w:rFonts w:eastAsia="楷体_GB2312"/>
          <w:sz w:val="24"/>
          <w:lang w:val="en-GB"/>
        </w:rPr>
      </w:pPr>
      <w:r>
        <w:rPr>
          <w:rFonts w:eastAsia="楷体_GB2312"/>
          <w:sz w:val="24"/>
        </w:rPr>
        <w:t>“</w:t>
      </w:r>
      <w:r>
        <w:rPr>
          <w:rFonts w:eastAsia="楷体_GB2312"/>
          <w:sz w:val="24"/>
          <w:lang w:val="en-GB"/>
        </w:rPr>
        <w:t>委托人</w:t>
      </w:r>
      <w:r>
        <w:rPr>
          <w:rFonts w:eastAsia="楷体_GB2312"/>
          <w:sz w:val="24"/>
        </w:rPr>
        <w:t>”</w:t>
      </w:r>
      <w:r>
        <w:rPr>
          <w:rFonts w:eastAsia="楷体_GB2312"/>
          <w:sz w:val="24"/>
          <w:lang w:val="en-GB"/>
        </w:rPr>
        <w:t>的指定账户为：</w:t>
      </w:r>
    </w:p>
    <w:p w14:paraId="1ABD7997">
      <w:pPr>
        <w:spacing w:before="156" w:beforeLines="50" w:after="156" w:afterLines="50" w:line="360" w:lineRule="auto"/>
        <w:ind w:left="851"/>
        <w:rPr>
          <w:rFonts w:eastAsia="楷体_GB2312"/>
          <w:sz w:val="24"/>
          <w:lang w:val="en-GB"/>
        </w:rPr>
      </w:pPr>
      <w:r>
        <w:rPr>
          <w:rFonts w:eastAsia="楷体_GB2312"/>
          <w:sz w:val="24"/>
          <w:lang w:val="en-GB"/>
        </w:rPr>
        <w:t>开户行：【】</w:t>
      </w:r>
      <w:r>
        <w:rPr>
          <w:rFonts w:eastAsia="楷体_GB2312"/>
          <w:sz w:val="24"/>
          <w:lang w:val="en-GB"/>
        </w:rPr>
        <w:br w:type="textWrapping"/>
      </w:r>
      <w:r>
        <w:rPr>
          <w:rFonts w:eastAsia="楷体_GB2312"/>
          <w:sz w:val="24"/>
          <w:lang w:val="en-GB"/>
        </w:rPr>
        <w:t>户名：【】</w:t>
      </w:r>
      <w:r>
        <w:rPr>
          <w:rFonts w:eastAsia="楷体_GB2312"/>
          <w:sz w:val="24"/>
          <w:lang w:val="en-GB"/>
        </w:rPr>
        <w:br w:type="textWrapping"/>
      </w:r>
      <w:r>
        <w:rPr>
          <w:rFonts w:eastAsia="楷体_GB2312"/>
          <w:sz w:val="24"/>
          <w:lang w:val="en-GB"/>
        </w:rPr>
        <w:t>账号：【】</w:t>
      </w:r>
      <w:bookmarkEnd w:id="76"/>
    </w:p>
    <w:p w14:paraId="71EE6055">
      <w:pPr>
        <w:numPr>
          <w:ilvl w:val="1"/>
          <w:numId w:val="4"/>
        </w:numPr>
        <w:tabs>
          <w:tab w:val="left" w:pos="900"/>
        </w:tabs>
        <w:spacing w:before="156" w:beforeLines="50" w:after="156" w:afterLines="50" w:line="360" w:lineRule="auto"/>
        <w:ind w:left="879" w:hanging="454"/>
        <w:outlineLvl w:val="1"/>
        <w:rPr>
          <w:rFonts w:eastAsia="楷体_GB2312"/>
          <w:b/>
          <w:sz w:val="24"/>
        </w:rPr>
      </w:pPr>
      <w:bookmarkStart w:id="77" w:name="_Toc150895682"/>
      <w:bookmarkEnd w:id="77"/>
      <w:bookmarkStart w:id="78" w:name="_Toc110153420"/>
      <w:bookmarkStart w:id="79" w:name="_Ref107146012"/>
      <w:bookmarkStart w:id="80" w:name="_Toc111281770"/>
      <w:r>
        <w:rPr>
          <w:rFonts w:eastAsia="楷体_GB2312"/>
          <w:b/>
          <w:sz w:val="24"/>
        </w:rPr>
        <w:t>委托人自持的资产支持证券的交付</w:t>
      </w:r>
    </w:p>
    <w:p w14:paraId="60F28BD9">
      <w:pPr>
        <w:spacing w:before="156" w:beforeLines="50" w:after="156" w:afterLines="50" w:line="360" w:lineRule="auto"/>
        <w:ind w:left="851"/>
        <w:rPr>
          <w:rFonts w:eastAsia="楷体_GB2312"/>
          <w:sz w:val="24"/>
        </w:rPr>
      </w:pPr>
      <w:r>
        <w:rPr>
          <w:rFonts w:eastAsia="楷体_GB2312"/>
          <w:sz w:val="24"/>
        </w:rPr>
        <w:t>“受托机构”应不迟于“信托财产交付日”，按照“登记托管机构”的规则将“发起机构”自持的“资产支持证券”，即面值分别为【】元人民币的“优先级资产支持证券”、【】元人民币的“次级资产支持证券”交付给“发起机构”。</w:t>
      </w:r>
    </w:p>
    <w:p w14:paraId="53EBDE1F">
      <w:pPr>
        <w:spacing w:before="156" w:beforeLines="50" w:after="156" w:afterLines="50" w:line="360" w:lineRule="auto"/>
        <w:ind w:left="851"/>
        <w:rPr>
          <w:rFonts w:eastAsia="楷体_GB2312"/>
          <w:b/>
          <w:i/>
          <w:color w:val="FF0000"/>
          <w:sz w:val="24"/>
        </w:rPr>
      </w:pPr>
      <w:r>
        <w:rPr>
          <w:rFonts w:eastAsia="楷体_GB2312"/>
          <w:b/>
          <w:i/>
          <w:color w:val="FF0000"/>
          <w:sz w:val="24"/>
        </w:rPr>
        <w:t>【注：委托人自持资产支持证券情况可根据具体项目进行调整。】</w:t>
      </w:r>
    </w:p>
    <w:p w14:paraId="1AB52062">
      <w:pPr>
        <w:numPr>
          <w:ilvl w:val="1"/>
          <w:numId w:val="4"/>
        </w:numPr>
        <w:tabs>
          <w:tab w:val="left" w:pos="420"/>
          <w:tab w:val="left" w:pos="900"/>
        </w:tabs>
        <w:spacing w:before="156" w:beforeLines="50" w:after="156" w:afterLines="50" w:line="360" w:lineRule="auto"/>
        <w:ind w:left="879" w:hanging="454"/>
        <w:outlineLvl w:val="1"/>
        <w:rPr>
          <w:rFonts w:eastAsia="楷体_GB2312"/>
          <w:b/>
          <w:sz w:val="24"/>
        </w:rPr>
      </w:pPr>
      <w:r>
        <w:rPr>
          <w:rFonts w:eastAsia="楷体_GB2312"/>
          <w:b/>
          <w:sz w:val="24"/>
        </w:rPr>
        <w:t>信托设立公告和</w:t>
      </w:r>
      <w:bookmarkEnd w:id="78"/>
      <w:bookmarkEnd w:id="79"/>
      <w:bookmarkEnd w:id="80"/>
      <w:bookmarkStart w:id="81" w:name="_Toc92612908"/>
      <w:r>
        <w:rPr>
          <w:rFonts w:eastAsia="楷体_GB2312"/>
          <w:b/>
          <w:sz w:val="24"/>
        </w:rPr>
        <w:t>权利完善通知</w:t>
      </w:r>
    </w:p>
    <w:p w14:paraId="31A81044">
      <w:pPr>
        <w:numPr>
          <w:ilvl w:val="2"/>
          <w:numId w:val="4"/>
        </w:numPr>
        <w:tabs>
          <w:tab w:val="left" w:pos="1134"/>
          <w:tab w:val="left" w:pos="1701"/>
        </w:tabs>
        <w:spacing w:before="156" w:beforeLines="50" w:after="156" w:afterLines="50" w:line="360" w:lineRule="auto"/>
        <w:ind w:left="1560" w:hanging="664"/>
        <w:rPr>
          <w:rFonts w:eastAsia="楷体_GB2312"/>
          <w:b/>
          <w:sz w:val="24"/>
        </w:rPr>
      </w:pPr>
      <w:r>
        <w:rPr>
          <w:rFonts w:eastAsia="楷体_GB2312"/>
          <w:b/>
          <w:sz w:val="24"/>
        </w:rPr>
        <w:t>信</w:t>
      </w:r>
      <w:bookmarkStart w:id="82" w:name="_Toc106417345"/>
      <w:r>
        <w:rPr>
          <w:rFonts w:eastAsia="楷体_GB2312"/>
          <w:b/>
          <w:sz w:val="24"/>
        </w:rPr>
        <w:t>托</w:t>
      </w:r>
      <w:r>
        <w:rPr>
          <w:rFonts w:eastAsia="楷体_GB2312"/>
          <w:b/>
          <w:bCs/>
          <w:sz w:val="24"/>
        </w:rPr>
        <w:t>设立</w:t>
      </w:r>
      <w:r>
        <w:rPr>
          <w:rFonts w:eastAsia="楷体_GB2312"/>
          <w:b/>
          <w:sz w:val="24"/>
        </w:rPr>
        <w:t>的公告</w:t>
      </w:r>
    </w:p>
    <w:p w14:paraId="1784D12E">
      <w:pPr>
        <w:numPr>
          <w:ilvl w:val="0"/>
          <w:numId w:val="11"/>
        </w:numPr>
        <w:spacing w:before="156" w:beforeLines="50" w:after="156" w:afterLines="50" w:line="360" w:lineRule="auto"/>
        <w:rPr>
          <w:rFonts w:eastAsia="楷体_GB2312"/>
          <w:sz w:val="24"/>
        </w:rPr>
      </w:pPr>
      <w:r>
        <w:rPr>
          <w:rFonts w:eastAsia="楷体_GB2312"/>
          <w:sz w:val="24"/>
        </w:rPr>
        <w:t>“受托人”应在“信托财产交付日”前根据“中国”“法律”</w:t>
      </w:r>
      <w:r>
        <w:rPr>
          <w:rFonts w:eastAsia="楷体_GB2312"/>
          <w:kern w:val="0"/>
          <w:sz w:val="24"/>
        </w:rPr>
        <w:t>在全国性媒体上发布公告，将设立</w:t>
      </w:r>
      <w:r>
        <w:rPr>
          <w:rFonts w:eastAsia="楷体_GB2312"/>
          <w:sz w:val="24"/>
        </w:rPr>
        <w:t>“</w:t>
      </w:r>
      <w:r>
        <w:rPr>
          <w:rFonts w:eastAsia="楷体_GB2312"/>
          <w:kern w:val="0"/>
          <w:sz w:val="24"/>
        </w:rPr>
        <w:t>信托</w:t>
      </w:r>
      <w:r>
        <w:rPr>
          <w:rFonts w:eastAsia="楷体_GB2312"/>
          <w:sz w:val="24"/>
        </w:rPr>
        <w:t>”</w:t>
      </w:r>
      <w:r>
        <w:rPr>
          <w:rFonts w:eastAsia="楷体_GB2312"/>
          <w:kern w:val="0"/>
          <w:sz w:val="24"/>
        </w:rPr>
        <w:t>之事宜（包括但不限于</w:t>
      </w:r>
      <w:r>
        <w:rPr>
          <w:rFonts w:eastAsia="楷体_GB2312"/>
          <w:sz w:val="24"/>
        </w:rPr>
        <w:t>“</w:t>
      </w:r>
      <w:r>
        <w:rPr>
          <w:rFonts w:eastAsia="楷体_GB2312"/>
          <w:kern w:val="0"/>
          <w:sz w:val="24"/>
        </w:rPr>
        <w:t>信贷资产</w:t>
      </w:r>
      <w:r>
        <w:rPr>
          <w:rFonts w:eastAsia="楷体_GB2312"/>
          <w:sz w:val="24"/>
        </w:rPr>
        <w:t>”</w:t>
      </w:r>
      <w:r>
        <w:rPr>
          <w:rFonts w:eastAsia="楷体_GB2312"/>
          <w:kern w:val="0"/>
          <w:sz w:val="24"/>
        </w:rPr>
        <w:t>设立</w:t>
      </w:r>
      <w:r>
        <w:rPr>
          <w:rFonts w:eastAsia="楷体_GB2312"/>
          <w:sz w:val="24"/>
        </w:rPr>
        <w:t>“</w:t>
      </w:r>
      <w:r>
        <w:rPr>
          <w:rFonts w:eastAsia="楷体_GB2312"/>
          <w:kern w:val="0"/>
          <w:sz w:val="24"/>
        </w:rPr>
        <w:t>信托</w:t>
      </w:r>
      <w:r>
        <w:rPr>
          <w:rFonts w:eastAsia="楷体_GB2312"/>
          <w:sz w:val="24"/>
        </w:rPr>
        <w:t>”</w:t>
      </w:r>
      <w:r>
        <w:rPr>
          <w:rFonts w:eastAsia="楷体_GB2312"/>
          <w:kern w:val="0"/>
          <w:sz w:val="24"/>
        </w:rPr>
        <w:t>的交易），予以公布</w:t>
      </w:r>
      <w:r>
        <w:rPr>
          <w:rFonts w:eastAsia="楷体_GB2312"/>
          <w:sz w:val="24"/>
        </w:rPr>
        <w:t>。</w:t>
      </w:r>
    </w:p>
    <w:p w14:paraId="5D598855">
      <w:pPr>
        <w:numPr>
          <w:ilvl w:val="0"/>
          <w:numId w:val="11"/>
        </w:numPr>
        <w:spacing w:before="156" w:beforeLines="50" w:after="156" w:afterLines="50" w:line="360" w:lineRule="auto"/>
        <w:rPr>
          <w:rFonts w:eastAsia="楷体_GB2312"/>
          <w:sz w:val="24"/>
        </w:rPr>
      </w:pPr>
      <w:r>
        <w:rPr>
          <w:rFonts w:eastAsia="楷体_GB2312"/>
          <w:sz w:val="24"/>
        </w:rPr>
        <w:t>“信托”</w:t>
      </w:r>
      <w:r>
        <w:rPr>
          <w:rFonts w:eastAsia="楷体_GB2312"/>
          <w:kern w:val="0"/>
          <w:sz w:val="24"/>
        </w:rPr>
        <w:t>设立</w:t>
      </w:r>
      <w:r>
        <w:rPr>
          <w:rFonts w:eastAsia="楷体_GB2312"/>
          <w:sz w:val="24"/>
        </w:rPr>
        <w:t>的公告费用（如有）由“信托财产”承担。</w:t>
      </w:r>
    </w:p>
    <w:p w14:paraId="4ED00EAD">
      <w:pPr>
        <w:autoSpaceDE w:val="0"/>
        <w:autoSpaceDN w:val="0"/>
        <w:adjustRightInd w:val="0"/>
        <w:spacing w:before="156" w:beforeLines="50" w:after="156" w:afterLines="50" w:line="360" w:lineRule="auto"/>
        <w:ind w:left="1985"/>
        <w:rPr>
          <w:rFonts w:eastAsia="楷体_GB2312"/>
          <w:b/>
          <w:i/>
          <w:color w:val="FF0000"/>
          <w:sz w:val="24"/>
        </w:rPr>
      </w:pPr>
      <w:r>
        <w:rPr>
          <w:rFonts w:eastAsia="楷体_GB2312"/>
          <w:b/>
          <w:i/>
          <w:color w:val="FF0000"/>
          <w:sz w:val="24"/>
        </w:rPr>
        <w:t>【注：“信托”设立的公告费用的承担方式，可根据项目实际情况进行调整。】</w:t>
      </w:r>
    </w:p>
    <w:bookmarkEnd w:id="82"/>
    <w:p w14:paraId="1ECFEEF9">
      <w:pPr>
        <w:numPr>
          <w:ilvl w:val="2"/>
          <w:numId w:val="4"/>
        </w:numPr>
        <w:tabs>
          <w:tab w:val="left" w:pos="1134"/>
          <w:tab w:val="left" w:pos="1701"/>
        </w:tabs>
        <w:spacing w:before="156" w:beforeLines="50" w:after="156" w:afterLines="50" w:line="360" w:lineRule="auto"/>
        <w:ind w:left="1560" w:hanging="664"/>
        <w:rPr>
          <w:rFonts w:eastAsia="楷体_GB2312"/>
          <w:b/>
          <w:sz w:val="24"/>
        </w:rPr>
      </w:pPr>
      <w:bookmarkStart w:id="83" w:name="_Ref146340445"/>
      <w:bookmarkStart w:id="84" w:name="_Ref221528379"/>
      <w:bookmarkStart w:id="85" w:name="_Ref169350764"/>
      <w:bookmarkStart w:id="86" w:name="_Toc106417346"/>
      <w:r>
        <w:rPr>
          <w:rFonts w:eastAsia="楷体_GB2312"/>
          <w:b/>
          <w:sz w:val="24"/>
        </w:rPr>
        <w:t>委托人发送</w:t>
      </w:r>
      <w:bookmarkEnd w:id="83"/>
      <w:r>
        <w:rPr>
          <w:rFonts w:eastAsia="楷体_GB2312"/>
          <w:b/>
          <w:sz w:val="24"/>
        </w:rPr>
        <w:t>权利完善通知</w:t>
      </w:r>
      <w:bookmarkEnd w:id="84"/>
      <w:bookmarkEnd w:id="85"/>
    </w:p>
    <w:p w14:paraId="2A0F7E0E">
      <w:pPr>
        <w:numPr>
          <w:ilvl w:val="0"/>
          <w:numId w:val="12"/>
        </w:numPr>
        <w:spacing w:before="156" w:beforeLines="50" w:after="156" w:afterLines="50" w:line="360" w:lineRule="auto"/>
        <w:rPr>
          <w:rFonts w:eastAsia="楷体_GB2312"/>
          <w:sz w:val="24"/>
        </w:rPr>
      </w:pPr>
      <w:bookmarkStart w:id="87" w:name="_Ref221383723"/>
      <w:r>
        <w:rPr>
          <w:rFonts w:eastAsia="楷体_GB2312"/>
          <w:sz w:val="24"/>
        </w:rPr>
        <w:t>发生“权利完善事件”之【(a)项或(b)项】情形后的【】个</w:t>
      </w:r>
      <w:r>
        <w:rPr>
          <w:rFonts w:eastAsia="楷体_GB2312"/>
          <w:kern w:val="0"/>
          <w:sz w:val="24"/>
        </w:rPr>
        <w:t>“工作日”</w:t>
      </w:r>
      <w:r>
        <w:rPr>
          <w:rFonts w:eastAsia="楷体_GB2312"/>
          <w:sz w:val="24"/>
        </w:rPr>
        <w:t>内，“委托人”应以挂号信或特快专递等方式发出如下“权利完善通知”（格式见本合同</w:t>
      </w:r>
      <w:r>
        <w:rPr>
          <w:rFonts w:eastAsia="楷体_GB2312"/>
          <w:b/>
          <w:i/>
          <w:sz w:val="24"/>
        </w:rPr>
        <w:t>附件三</w:t>
      </w:r>
      <w:r>
        <w:rPr>
          <w:rFonts w:eastAsia="楷体_GB2312"/>
          <w:sz w:val="24"/>
        </w:rPr>
        <w:t>），并抄送给“受托人”：</w:t>
      </w:r>
      <w:bookmarkEnd w:id="87"/>
    </w:p>
    <w:p w14:paraId="2F63B062">
      <w:pPr>
        <w:numPr>
          <w:ilvl w:val="0"/>
          <w:numId w:val="13"/>
        </w:numPr>
        <w:tabs>
          <w:tab w:val="left" w:pos="3261"/>
        </w:tabs>
        <w:spacing w:before="156" w:beforeLines="50" w:after="156" w:afterLines="50" w:line="360" w:lineRule="auto"/>
        <w:ind w:left="2408" w:leftChars="945" w:hanging="424"/>
        <w:rPr>
          <w:rFonts w:eastAsia="楷体_GB2312"/>
          <w:sz w:val="24"/>
        </w:rPr>
      </w:pPr>
      <w:bookmarkStart w:id="88" w:name="OLE_LINK7"/>
      <w:r>
        <w:rPr>
          <w:rFonts w:eastAsia="楷体_GB2312"/>
          <w:sz w:val="24"/>
        </w:rPr>
        <w:t>将相关“信贷资产”已设立“信托”的事实通知每一个“借款人”和“担保人”（如有）</w:t>
      </w:r>
      <w:bookmarkEnd w:id="88"/>
      <w:r>
        <w:rPr>
          <w:rFonts w:eastAsia="楷体_GB2312"/>
          <w:sz w:val="24"/>
        </w:rPr>
        <w:t>；以及</w:t>
      </w:r>
    </w:p>
    <w:p w14:paraId="1E727C84">
      <w:pPr>
        <w:numPr>
          <w:ilvl w:val="0"/>
          <w:numId w:val="13"/>
        </w:numPr>
        <w:tabs>
          <w:tab w:val="left" w:pos="3261"/>
        </w:tabs>
        <w:spacing w:before="156" w:beforeLines="50" w:after="156" w:afterLines="50" w:line="360" w:lineRule="auto"/>
        <w:ind w:left="2408" w:leftChars="945" w:hanging="424"/>
        <w:rPr>
          <w:rFonts w:eastAsia="楷体_GB2312"/>
          <w:sz w:val="24"/>
        </w:rPr>
      </w:pPr>
      <w:r>
        <w:rPr>
          <w:rFonts w:eastAsia="楷体_GB2312"/>
          <w:sz w:val="24"/>
        </w:rPr>
        <w:t>告知“借款人”、“担保人”（如有）自收到“权利完善通知”之日起，将其应支付的款项支付至“信托账户”。</w:t>
      </w:r>
    </w:p>
    <w:p w14:paraId="291F906C">
      <w:pPr>
        <w:autoSpaceDE w:val="0"/>
        <w:autoSpaceDN w:val="0"/>
        <w:adjustRightInd w:val="0"/>
        <w:spacing w:before="156" w:beforeLines="50" w:after="156" w:afterLines="50" w:line="360" w:lineRule="auto"/>
        <w:ind w:left="1985"/>
        <w:rPr>
          <w:rFonts w:eastAsia="楷体_GB2312"/>
          <w:b/>
          <w:i/>
          <w:color w:val="FF0000"/>
          <w:sz w:val="24"/>
        </w:rPr>
      </w:pPr>
      <w:r>
        <w:rPr>
          <w:rFonts w:eastAsia="楷体_GB2312"/>
          <w:b/>
          <w:i/>
          <w:color w:val="FF0000"/>
          <w:sz w:val="24"/>
        </w:rPr>
        <w:t>【注：发生权利完善事件后通知中如不涉及转变回收款支付路径的，则可进行补充或调整。】</w:t>
      </w:r>
    </w:p>
    <w:p w14:paraId="3AF4491D">
      <w:pPr>
        <w:numPr>
          <w:ilvl w:val="0"/>
          <w:numId w:val="12"/>
        </w:numPr>
        <w:spacing w:before="156" w:beforeLines="50" w:after="156" w:afterLines="50" w:line="360" w:lineRule="auto"/>
        <w:rPr>
          <w:rFonts w:eastAsia="楷体_GB2312"/>
          <w:sz w:val="24"/>
        </w:rPr>
      </w:pPr>
      <w:bookmarkStart w:id="89" w:name="_Ref161115861"/>
      <w:r>
        <w:rPr>
          <w:rFonts w:eastAsia="楷体_GB2312"/>
          <w:sz w:val="24"/>
        </w:rPr>
        <w:t>发生“权利完善事件”之(【c)项或(d)项】情形后的【】个“工作日”内，“委托人”应以挂号信的方式发出“权利完善通知”</w:t>
      </w:r>
      <w:r>
        <w:rPr>
          <w:rFonts w:eastAsia="楷体_GB2312"/>
          <w:color w:val="000000"/>
          <w:sz w:val="24"/>
        </w:rPr>
        <w:t>，并抄送给“受托人”：将相关“资产池”已设立“信托”的事实，通知每一笔“信贷资产”的“义务人”。当“委托人”担任“贷款服务机构时”，发生“权利完善事件”之(c)或(d)项情形的，则按本合同第</w:t>
      </w:r>
      <w:r>
        <w:rPr>
          <w:rFonts w:eastAsia="楷体_GB2312"/>
          <w:color w:val="000000"/>
          <w:sz w:val="24"/>
        </w:rPr>
        <w:fldChar w:fldCharType="begin"/>
      </w:r>
      <w:r>
        <w:rPr>
          <w:rFonts w:eastAsia="楷体_GB2312"/>
          <w:color w:val="000000"/>
          <w:sz w:val="24"/>
        </w:rPr>
        <w:instrText xml:space="preserve"> REF _Ref169350764 \r \h  \* MERGEFORMAT </w:instrText>
      </w:r>
      <w:r>
        <w:rPr>
          <w:rFonts w:eastAsia="楷体_GB2312"/>
          <w:color w:val="000000"/>
          <w:sz w:val="24"/>
        </w:rPr>
        <w:fldChar w:fldCharType="separate"/>
      </w:r>
      <w:r>
        <w:rPr>
          <w:rFonts w:eastAsia="楷体_GB2312"/>
          <w:color w:val="000000"/>
          <w:sz w:val="24"/>
        </w:rPr>
        <w:t>3.13.2</w:t>
      </w:r>
      <w:r>
        <w:rPr>
          <w:rFonts w:eastAsia="楷体_GB2312"/>
          <w:color w:val="000000"/>
          <w:sz w:val="24"/>
        </w:rPr>
        <w:fldChar w:fldCharType="end"/>
      </w:r>
      <w:r>
        <w:rPr>
          <w:rFonts w:eastAsia="楷体_GB2312"/>
          <w:color w:val="000000"/>
          <w:sz w:val="24"/>
        </w:rPr>
        <w:t>款第</w:t>
      </w:r>
      <w:r>
        <w:rPr>
          <w:rFonts w:eastAsia="楷体_GB2312"/>
          <w:color w:val="000000"/>
          <w:sz w:val="24"/>
        </w:rPr>
        <w:fldChar w:fldCharType="begin"/>
      </w:r>
      <w:r>
        <w:rPr>
          <w:rFonts w:eastAsia="楷体_GB2312"/>
          <w:color w:val="000000"/>
          <w:sz w:val="24"/>
        </w:rPr>
        <w:instrText xml:space="preserve"> REF _Ref221383723 \r \h  \* MERGEFORMAT </w:instrText>
      </w:r>
      <w:r>
        <w:rPr>
          <w:rFonts w:eastAsia="楷体_GB2312"/>
          <w:color w:val="000000"/>
          <w:sz w:val="24"/>
        </w:rPr>
        <w:fldChar w:fldCharType="separate"/>
      </w:r>
      <w:r>
        <w:rPr>
          <w:rFonts w:eastAsia="楷体_GB2312"/>
          <w:color w:val="000000"/>
          <w:sz w:val="24"/>
        </w:rPr>
        <w:t>(1)</w:t>
      </w:r>
      <w:r>
        <w:rPr>
          <w:rFonts w:eastAsia="楷体_GB2312"/>
          <w:color w:val="000000"/>
          <w:sz w:val="24"/>
        </w:rPr>
        <w:fldChar w:fldCharType="end"/>
      </w:r>
      <w:r>
        <w:rPr>
          <w:rFonts w:eastAsia="楷体_GB2312"/>
          <w:color w:val="000000"/>
          <w:sz w:val="24"/>
        </w:rPr>
        <w:t>项约定执行。</w:t>
      </w:r>
      <w:bookmarkEnd w:id="89"/>
    </w:p>
    <w:p w14:paraId="48A5BB1F">
      <w:pPr>
        <w:numPr>
          <w:ilvl w:val="0"/>
          <w:numId w:val="12"/>
        </w:numPr>
        <w:spacing w:before="156" w:beforeLines="50" w:after="156" w:afterLines="50" w:line="360" w:lineRule="auto"/>
        <w:rPr>
          <w:rFonts w:eastAsia="楷体_GB2312"/>
          <w:sz w:val="24"/>
        </w:rPr>
      </w:pPr>
      <w:r>
        <w:rPr>
          <w:rFonts w:eastAsia="楷体_GB2312"/>
          <w:sz w:val="24"/>
        </w:rPr>
        <w:t>除发生“权利完善事件”外：</w:t>
      </w:r>
    </w:p>
    <w:p w14:paraId="19086915">
      <w:pPr>
        <w:numPr>
          <w:ilvl w:val="0"/>
          <w:numId w:val="14"/>
        </w:numPr>
        <w:tabs>
          <w:tab w:val="left" w:pos="3261"/>
        </w:tabs>
        <w:spacing w:before="156" w:beforeLines="50" w:after="156" w:afterLines="50" w:line="360" w:lineRule="auto"/>
        <w:rPr>
          <w:rFonts w:eastAsia="楷体_GB2312"/>
          <w:sz w:val="24"/>
        </w:rPr>
      </w:pPr>
      <w:r>
        <w:rPr>
          <w:rFonts w:eastAsia="楷体_GB2312"/>
          <w:sz w:val="24"/>
        </w:rPr>
        <w:t>“受托人”或“委托人”根据相关“中国法律”的规定和“信贷资产”的届时状况和回收需要，有权要求“委托人”或“受托人”自行参照本合同第</w:t>
      </w:r>
      <w:r>
        <w:rPr>
          <w:rFonts w:eastAsia="楷体_GB2312"/>
          <w:sz w:val="24"/>
        </w:rPr>
        <w:fldChar w:fldCharType="begin"/>
      </w:r>
      <w:r>
        <w:rPr>
          <w:rFonts w:eastAsia="楷体_GB2312"/>
          <w:sz w:val="24"/>
        </w:rPr>
        <w:instrText xml:space="preserve"> REF _Ref221528379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款第(1)项的约定向相应的“借款人”、“担保人”（如有）发送“权利完善通知”；</w:t>
      </w:r>
    </w:p>
    <w:p w14:paraId="72B415C7">
      <w:pPr>
        <w:numPr>
          <w:ilvl w:val="0"/>
          <w:numId w:val="14"/>
        </w:numPr>
        <w:tabs>
          <w:tab w:val="left" w:pos="3261"/>
        </w:tabs>
        <w:spacing w:before="156" w:beforeLines="50" w:after="156" w:afterLines="50" w:line="360" w:lineRule="auto"/>
        <w:ind w:left="2408" w:leftChars="945" w:hanging="424"/>
        <w:rPr>
          <w:rFonts w:eastAsia="楷体_GB2312"/>
          <w:sz w:val="24"/>
        </w:rPr>
      </w:pPr>
      <w:r>
        <w:rPr>
          <w:rFonts w:eastAsia="楷体_GB2312"/>
          <w:sz w:val="24"/>
        </w:rPr>
        <w:t>在“贷款服务机构”回收“信贷资产”且在主张相关权利时，“贷款服务机构”的权利人地位受到质疑而无法实际行使相关权利时，“委托人”应根据“贷款服务机构”或“受托人”管理“信贷资产”的需要以挂号信或特快专递等方式仅向未履行义务的“借款人”、“担保人”（如有）发出“权利完善通知”，将“信贷资产”已设立或转入“信托”的事实，通知相关“借款人”、“担保人”（如有），并抄送给“受托人”（格式参考本合同</w:t>
      </w:r>
      <w:r>
        <w:rPr>
          <w:rFonts w:eastAsia="楷体_GB2312"/>
          <w:b/>
          <w:bCs/>
          <w:i/>
          <w:iCs/>
          <w:sz w:val="24"/>
        </w:rPr>
        <w:t>附件三</w:t>
      </w:r>
      <w:r>
        <w:rPr>
          <w:rFonts w:eastAsia="楷体_GB2312"/>
          <w:sz w:val="24"/>
        </w:rPr>
        <w:t>，并可根据实际情况进行必要调整）。</w:t>
      </w:r>
    </w:p>
    <w:p w14:paraId="01B47A9E">
      <w:pPr>
        <w:autoSpaceDE w:val="0"/>
        <w:autoSpaceDN w:val="0"/>
        <w:adjustRightInd w:val="0"/>
        <w:spacing w:before="156" w:beforeLines="50" w:after="156" w:afterLines="50" w:line="360" w:lineRule="auto"/>
        <w:ind w:left="1985"/>
        <w:rPr>
          <w:rFonts w:eastAsia="楷体_GB2312"/>
          <w:b/>
          <w:i/>
          <w:color w:val="FF0000"/>
          <w:sz w:val="24"/>
        </w:rPr>
      </w:pPr>
      <w:r>
        <w:rPr>
          <w:rFonts w:eastAsia="楷体_GB2312"/>
          <w:b/>
          <w:i/>
          <w:color w:val="FF0000"/>
          <w:sz w:val="24"/>
        </w:rPr>
        <w:t>【注：</w:t>
      </w:r>
      <w:r>
        <w:rPr>
          <w:rFonts w:eastAsia="楷体_GB2312"/>
          <w:b/>
          <w:bCs/>
          <w:i/>
          <w:iCs/>
          <w:color w:val="FF0000"/>
          <w:sz w:val="24"/>
        </w:rPr>
        <w:t>权利完善事件/个别通知事件市场主体采取的表述方式多样，</w:t>
      </w:r>
      <w:bookmarkStart w:id="816" w:name="_GoBack"/>
      <w:bookmarkEnd w:id="816"/>
      <w:r>
        <w:rPr>
          <w:rFonts w:eastAsia="楷体_GB2312"/>
          <w:b/>
          <w:bCs/>
          <w:i/>
          <w:iCs/>
          <w:color w:val="FF0000"/>
          <w:sz w:val="24"/>
        </w:rPr>
        <w:t>具体权利完善事件以及该等事件发生后的法律后果均可结合项目实际需要而予以调整，注意与相关条款约定相匹配即可</w:t>
      </w:r>
      <w:r>
        <w:rPr>
          <w:rFonts w:eastAsia="楷体_GB2312"/>
          <w:b/>
          <w:i/>
          <w:color w:val="FF0000"/>
          <w:sz w:val="24"/>
        </w:rPr>
        <w:t>。】</w:t>
      </w:r>
    </w:p>
    <w:p w14:paraId="03D0B4AD">
      <w:pPr>
        <w:numPr>
          <w:ilvl w:val="2"/>
          <w:numId w:val="4"/>
        </w:numPr>
        <w:tabs>
          <w:tab w:val="left" w:pos="1134"/>
          <w:tab w:val="left" w:pos="1701"/>
        </w:tabs>
        <w:spacing w:before="156" w:beforeLines="50" w:after="156" w:afterLines="50" w:line="360" w:lineRule="auto"/>
        <w:ind w:left="1560" w:hanging="664"/>
        <w:rPr>
          <w:rFonts w:eastAsia="楷体_GB2312"/>
          <w:b/>
          <w:sz w:val="24"/>
        </w:rPr>
      </w:pPr>
      <w:r>
        <w:rPr>
          <w:rFonts w:eastAsia="楷体_GB2312"/>
          <w:b/>
          <w:bCs/>
          <w:sz w:val="24"/>
        </w:rPr>
        <w:t>受托人</w:t>
      </w:r>
      <w:r>
        <w:rPr>
          <w:rFonts w:eastAsia="楷体_GB2312"/>
          <w:b/>
          <w:sz w:val="24"/>
        </w:rPr>
        <w:t>代为发送权利完善通知</w:t>
      </w:r>
    </w:p>
    <w:p w14:paraId="78B009F1">
      <w:pPr>
        <w:numPr>
          <w:ilvl w:val="0"/>
          <w:numId w:val="15"/>
        </w:numPr>
        <w:spacing w:before="156" w:beforeLines="50" w:after="156" w:afterLines="50" w:line="360" w:lineRule="auto"/>
        <w:rPr>
          <w:rFonts w:eastAsia="楷体_GB2312"/>
          <w:sz w:val="24"/>
        </w:rPr>
      </w:pPr>
      <w:bookmarkStart w:id="90" w:name="_Ref522724399"/>
      <w:r>
        <w:rPr>
          <w:rFonts w:eastAsia="楷体_GB2312"/>
          <w:sz w:val="24"/>
        </w:rPr>
        <w:t>“委托人”应于“信托生效日”前向“受托人”出具不可撤销的“授权书”（格式见本合同</w:t>
      </w:r>
      <w:r>
        <w:rPr>
          <w:rFonts w:eastAsia="楷体_GB2312"/>
          <w:b/>
          <w:i/>
          <w:sz w:val="24"/>
        </w:rPr>
        <w:t>附件四</w:t>
      </w:r>
      <w:r>
        <w:rPr>
          <w:rFonts w:eastAsia="楷体_GB2312"/>
          <w:sz w:val="24"/>
        </w:rPr>
        <w:t>），授权“受托人”以“委托人”的名义，在发生“权利完善事件”且“委托人”不履行本合同第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款约定的通知义务时，代为</w:t>
      </w:r>
      <w:r>
        <w:rPr>
          <w:rFonts w:eastAsia="楷体_GB2312"/>
          <w:bCs/>
          <w:sz w:val="24"/>
        </w:rPr>
        <w:t>履行</w:t>
      </w:r>
      <w:r>
        <w:rPr>
          <w:rFonts w:eastAsia="楷体_GB2312"/>
          <w:sz w:val="24"/>
        </w:rPr>
        <w:t>本合同第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款约定的通知义务。</w:t>
      </w:r>
      <w:bookmarkEnd w:id="90"/>
    </w:p>
    <w:p w14:paraId="147A631F">
      <w:pPr>
        <w:numPr>
          <w:ilvl w:val="0"/>
          <w:numId w:val="15"/>
        </w:numPr>
        <w:spacing w:before="156" w:beforeLines="50" w:after="156" w:afterLines="50" w:line="360" w:lineRule="auto"/>
        <w:rPr>
          <w:rFonts w:eastAsia="楷体_GB2312"/>
          <w:sz w:val="24"/>
        </w:rPr>
      </w:pPr>
      <w:r>
        <w:rPr>
          <w:rFonts w:eastAsia="楷体_GB2312"/>
          <w:sz w:val="24"/>
        </w:rPr>
        <w:t>如果“受托人”知悉“委托人”在发生“权利完善事件”后未按照本合同第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款的约定发送“权利完善通知”，则“受托人”可要求“委托人”在【】个“工作日”内发送“权利完善通知”；“受托人”也可在“委托人”按照本合同第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款的约定本应发送“权利完善通知”之日或“受托人”知悉之日后（以较晚的为准）的【】个“工作日”内，按照本合同第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款的约定，代表“委托人”向相应的“借款人”、“担保人”（如有）发送“权利完善通知”，并抄送给“委托人”。</w:t>
      </w:r>
    </w:p>
    <w:p w14:paraId="36395B47">
      <w:pPr>
        <w:numPr>
          <w:ilvl w:val="2"/>
          <w:numId w:val="4"/>
        </w:numPr>
        <w:tabs>
          <w:tab w:val="left" w:pos="1134"/>
          <w:tab w:val="left" w:pos="1701"/>
        </w:tabs>
        <w:spacing w:before="156" w:beforeLines="50" w:after="156" w:afterLines="50" w:line="360" w:lineRule="auto"/>
        <w:ind w:left="1560" w:hanging="664"/>
        <w:rPr>
          <w:rFonts w:eastAsia="楷体_GB2312"/>
          <w:b/>
          <w:sz w:val="24"/>
        </w:rPr>
      </w:pPr>
      <w:r>
        <w:rPr>
          <w:rFonts w:eastAsia="楷体_GB2312"/>
          <w:b/>
          <w:sz w:val="24"/>
        </w:rPr>
        <w:t>发送</w:t>
      </w:r>
      <w:r>
        <w:rPr>
          <w:rFonts w:eastAsia="楷体_GB2312"/>
          <w:b/>
          <w:bCs/>
          <w:sz w:val="24"/>
        </w:rPr>
        <w:t>权利</w:t>
      </w:r>
      <w:r>
        <w:rPr>
          <w:rFonts w:eastAsia="楷体_GB2312"/>
          <w:b/>
          <w:sz w:val="24"/>
        </w:rPr>
        <w:t>完善通知的费用</w:t>
      </w:r>
    </w:p>
    <w:p w14:paraId="516F836A">
      <w:pPr>
        <w:pStyle w:val="42"/>
        <w:tabs>
          <w:tab w:val="left" w:pos="900"/>
        </w:tabs>
        <w:spacing w:before="156" w:beforeLines="50" w:after="156" w:afterLines="50" w:line="360" w:lineRule="auto"/>
        <w:ind w:left="1701" w:firstLine="0" w:firstLineChars="0"/>
        <w:rPr>
          <w:rFonts w:eastAsia="楷体_GB2312"/>
          <w:sz w:val="24"/>
        </w:rPr>
      </w:pPr>
      <w:r>
        <w:rPr>
          <w:rFonts w:eastAsia="楷体_GB2312"/>
          <w:b/>
          <w:i/>
          <w:color w:val="FF0000"/>
          <w:sz w:val="24"/>
        </w:rPr>
        <w:t>【注：参考条款一】</w:t>
      </w:r>
      <w:r>
        <w:rPr>
          <w:rFonts w:eastAsia="楷体_GB2312"/>
          <w:sz w:val="24"/>
        </w:rPr>
        <w:t>“委托人”按照本合同发送“权利完善通知”所发生的费用由“委托人”自行承担。“受托人”按照本合同发送“权利完善通知”所发生的费用由“受托人”以“信托（服务转移和通知）储备账户”内的资金支付。</w:t>
      </w:r>
    </w:p>
    <w:p w14:paraId="3E11646E">
      <w:pPr>
        <w:pStyle w:val="42"/>
        <w:tabs>
          <w:tab w:val="left" w:pos="900"/>
        </w:tabs>
        <w:spacing w:before="156" w:beforeLines="50" w:after="156" w:afterLines="50" w:line="360" w:lineRule="auto"/>
        <w:ind w:left="1701" w:firstLine="0" w:firstLineChars="0"/>
        <w:rPr>
          <w:rFonts w:eastAsia="楷体_GB2312"/>
          <w:sz w:val="24"/>
        </w:rPr>
      </w:pPr>
      <w:r>
        <w:rPr>
          <w:rFonts w:eastAsia="楷体_GB2312"/>
          <w:b/>
          <w:i/>
          <w:color w:val="FF0000"/>
          <w:sz w:val="24"/>
        </w:rPr>
        <w:t>【注：参考条款二】</w:t>
      </w:r>
      <w:r>
        <w:rPr>
          <w:rFonts w:eastAsia="楷体_GB2312"/>
          <w:sz w:val="24"/>
        </w:rPr>
        <w:t>“委托人”或“受托人”按照本合同发送“权利完善通知”的费用，由“信托财产”承担。如果“委托人”或“受托人”垫付该费用，可将该费用视为“费用支出”在“信托财产”中予以返还。</w:t>
      </w:r>
    </w:p>
    <w:p w14:paraId="3C46B185">
      <w:pPr>
        <w:pStyle w:val="42"/>
        <w:tabs>
          <w:tab w:val="left" w:pos="900"/>
        </w:tabs>
        <w:spacing w:before="156" w:beforeLines="50" w:after="156" w:afterLines="50" w:line="360" w:lineRule="auto"/>
        <w:ind w:left="1701" w:firstLine="0" w:firstLineChars="0"/>
        <w:rPr>
          <w:rFonts w:eastAsia="楷体_GB2312"/>
          <w:b/>
          <w:i/>
          <w:color w:val="FF0000"/>
          <w:sz w:val="24"/>
        </w:rPr>
      </w:pPr>
      <w:r>
        <w:rPr>
          <w:rFonts w:eastAsia="楷体_GB2312"/>
          <w:b/>
          <w:i/>
          <w:color w:val="FF0000"/>
          <w:sz w:val="24"/>
        </w:rPr>
        <w:t>【注：发送权利完善通知的费用承担方式，可视项目具体情况选择由委托人或信托财产或委托人承担；如不设置信托（服务转移和通知）储备账户，本条应相应调整。】</w:t>
      </w:r>
    </w:p>
    <w:bookmarkEnd w:id="86"/>
    <w:p w14:paraId="7F1501D2">
      <w:pPr>
        <w:numPr>
          <w:ilvl w:val="1"/>
          <w:numId w:val="4"/>
        </w:numPr>
        <w:tabs>
          <w:tab w:val="left" w:pos="900"/>
        </w:tabs>
        <w:spacing w:before="156" w:beforeLines="50" w:after="156" w:afterLines="50" w:line="360" w:lineRule="auto"/>
        <w:ind w:left="879" w:hanging="454"/>
        <w:outlineLvl w:val="1"/>
        <w:rPr>
          <w:rFonts w:eastAsia="楷体_GB2312"/>
          <w:b/>
          <w:bCs/>
          <w:sz w:val="24"/>
        </w:rPr>
      </w:pPr>
      <w:bookmarkStart w:id="91" w:name="_Toc148440769"/>
      <w:bookmarkEnd w:id="91"/>
      <w:bookmarkStart w:id="92" w:name="_Toc148440768"/>
      <w:bookmarkEnd w:id="92"/>
      <w:bookmarkStart w:id="93" w:name="_Toc148440766"/>
      <w:bookmarkEnd w:id="93"/>
      <w:bookmarkStart w:id="94" w:name="_Toc148384176"/>
      <w:bookmarkEnd w:id="94"/>
      <w:bookmarkStart w:id="95" w:name="_Toc148384179"/>
      <w:bookmarkEnd w:id="95"/>
      <w:bookmarkStart w:id="96" w:name="_Toc148384174"/>
      <w:bookmarkEnd w:id="96"/>
      <w:bookmarkStart w:id="97" w:name="_Toc148440764"/>
      <w:bookmarkEnd w:id="97"/>
      <w:bookmarkStart w:id="98" w:name="_Toc148384178"/>
      <w:bookmarkEnd w:id="98"/>
      <w:bookmarkStart w:id="99" w:name="_Ref110413315"/>
      <w:bookmarkStart w:id="100" w:name="_Toc111281771"/>
      <w:r>
        <w:rPr>
          <w:rFonts w:eastAsia="楷体_GB2312"/>
          <w:b/>
          <w:bCs/>
          <w:sz w:val="24"/>
        </w:rPr>
        <w:t>借款人抵销的</w:t>
      </w:r>
      <w:r>
        <w:rPr>
          <w:rFonts w:eastAsia="楷体_GB2312"/>
          <w:b/>
          <w:sz w:val="24"/>
        </w:rPr>
        <w:t>处理</w:t>
      </w:r>
      <w:bookmarkEnd w:id="99"/>
      <w:bookmarkEnd w:id="100"/>
    </w:p>
    <w:p w14:paraId="63F3D291">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101" w:name="_Ref110308227"/>
      <w:bookmarkStart w:id="102" w:name="_Toc110153421"/>
      <w:r>
        <w:rPr>
          <w:rFonts w:eastAsia="楷体_GB2312"/>
          <w:sz w:val="24"/>
        </w:rPr>
        <w:t>如果“借款人”依据“中国”“法律”行使抵销权且被抵销债权属于</w:t>
      </w:r>
      <w:r>
        <w:rPr>
          <w:rFonts w:eastAsia="楷体_GB2312"/>
          <w:bCs/>
          <w:sz w:val="24"/>
        </w:rPr>
        <w:t>“委托人”</w:t>
      </w:r>
      <w:r>
        <w:rPr>
          <w:rFonts w:eastAsia="楷体_GB2312"/>
          <w:sz w:val="24"/>
        </w:rPr>
        <w:t>已交付设立“信托”的“信托财产”，则“委托人”应在得知“借款人”行使抵销权后立即将相当于被“抵销”款项的资金全额支付给“贷款服务机构”，作为“借款人”偿还的相应数额的还款，并同时通知“受托人”。</w:t>
      </w:r>
      <w:bookmarkEnd w:id="101"/>
    </w:p>
    <w:p w14:paraId="1BE1F97E">
      <w:pPr>
        <w:numPr>
          <w:ilvl w:val="2"/>
          <w:numId w:val="4"/>
        </w:numPr>
        <w:tabs>
          <w:tab w:val="left" w:pos="900"/>
          <w:tab w:val="left" w:pos="1843"/>
        </w:tabs>
        <w:spacing w:before="156" w:beforeLines="50" w:after="156" w:afterLines="50" w:line="360" w:lineRule="auto"/>
        <w:ind w:left="1701" w:hanging="777"/>
        <w:rPr>
          <w:rFonts w:eastAsia="楷体_GB2312"/>
          <w:b/>
          <w:bCs/>
          <w:sz w:val="24"/>
        </w:rPr>
      </w:pPr>
      <w:r>
        <w:rPr>
          <w:rFonts w:eastAsia="楷体_GB2312"/>
          <w:sz w:val="24"/>
        </w:rPr>
        <w:t>如果“委托人”对“借款人”有多笔债权，且“借款人”依据“中国”“法律”行使抵销权，则“委托人”应与“受托人”、“借款人”确认被抵销债权是否属于“信托财产”。如果被“抵销”债权属于“委托人”已交付</w:t>
      </w:r>
      <w:r>
        <w:rPr>
          <w:rFonts w:eastAsia="楷体_GB2312"/>
          <w:bCs/>
          <w:sz w:val="24"/>
        </w:rPr>
        <w:t>设立</w:t>
      </w:r>
      <w:r>
        <w:rPr>
          <w:rFonts w:eastAsia="楷体_GB2312"/>
          <w:sz w:val="24"/>
        </w:rPr>
        <w:t>“</w:t>
      </w:r>
      <w:r>
        <w:rPr>
          <w:rFonts w:eastAsia="楷体_GB2312"/>
          <w:bCs/>
          <w:sz w:val="24"/>
        </w:rPr>
        <w:t>信托</w:t>
      </w:r>
      <w:r>
        <w:rPr>
          <w:rFonts w:eastAsia="楷体_GB2312"/>
          <w:sz w:val="24"/>
        </w:rPr>
        <w:t>”</w:t>
      </w:r>
      <w:r>
        <w:rPr>
          <w:rFonts w:eastAsia="楷体_GB2312"/>
          <w:bCs/>
          <w:sz w:val="24"/>
        </w:rPr>
        <w:t>的</w:t>
      </w:r>
      <w:r>
        <w:rPr>
          <w:rFonts w:eastAsia="楷体_GB2312"/>
          <w:sz w:val="24"/>
        </w:rPr>
        <w:t>“</w:t>
      </w:r>
      <w:r>
        <w:rPr>
          <w:rFonts w:eastAsia="楷体_GB2312"/>
          <w:bCs/>
          <w:sz w:val="24"/>
        </w:rPr>
        <w:t>信托财产</w:t>
      </w:r>
      <w:r>
        <w:rPr>
          <w:rFonts w:eastAsia="楷体_GB2312"/>
          <w:sz w:val="24"/>
        </w:rPr>
        <w:t>”</w:t>
      </w:r>
      <w:r>
        <w:rPr>
          <w:rFonts w:eastAsia="楷体_GB2312"/>
          <w:bCs/>
          <w:sz w:val="24"/>
        </w:rPr>
        <w:t>，则</w:t>
      </w:r>
      <w:r>
        <w:rPr>
          <w:rFonts w:eastAsia="楷体_GB2312"/>
          <w:sz w:val="24"/>
        </w:rPr>
        <w:t>“</w:t>
      </w:r>
      <w:r>
        <w:rPr>
          <w:rFonts w:eastAsia="楷体_GB2312"/>
          <w:bCs/>
          <w:sz w:val="24"/>
        </w:rPr>
        <w:t>委托人</w:t>
      </w:r>
      <w:r>
        <w:rPr>
          <w:rFonts w:eastAsia="楷体_GB2312"/>
          <w:sz w:val="24"/>
        </w:rPr>
        <w:t>”</w:t>
      </w:r>
      <w:r>
        <w:rPr>
          <w:rFonts w:eastAsia="楷体_GB2312"/>
          <w:bCs/>
          <w:sz w:val="24"/>
        </w:rPr>
        <w:t>应按照本合同第</w:t>
      </w:r>
      <w:r>
        <w:rPr>
          <w:rFonts w:eastAsia="楷体_GB2312"/>
          <w:sz w:val="24"/>
        </w:rPr>
        <w:fldChar w:fldCharType="begin"/>
      </w:r>
      <w:r>
        <w:rPr>
          <w:rFonts w:eastAsia="楷体_GB2312"/>
          <w:sz w:val="24"/>
        </w:rPr>
        <w:instrText xml:space="preserve"> REF _Ref110308227 \r \h  \* MERGEFORMAT </w:instrText>
      </w:r>
      <w:r>
        <w:rPr>
          <w:rFonts w:eastAsia="楷体_GB2312"/>
          <w:sz w:val="24"/>
        </w:rPr>
        <w:fldChar w:fldCharType="separate"/>
      </w:r>
      <w:r>
        <w:rPr>
          <w:rFonts w:eastAsia="楷体_GB2312"/>
          <w:bCs/>
          <w:sz w:val="24"/>
        </w:rPr>
        <w:t>3.14.1</w:t>
      </w:r>
      <w:r>
        <w:rPr>
          <w:rFonts w:eastAsia="楷体_GB2312"/>
          <w:bCs/>
          <w:sz w:val="24"/>
        </w:rPr>
        <w:fldChar w:fldCharType="end"/>
      </w:r>
      <w:r>
        <w:rPr>
          <w:rFonts w:eastAsia="楷体_GB2312"/>
          <w:bCs/>
          <w:sz w:val="24"/>
        </w:rPr>
        <w:t>款履行义务。如果无法确定</w:t>
      </w:r>
      <w:r>
        <w:rPr>
          <w:rFonts w:eastAsia="楷体_GB2312"/>
          <w:sz w:val="24"/>
        </w:rPr>
        <w:t>被“抵销”债权是属于“委托人”已交付</w:t>
      </w:r>
      <w:r>
        <w:rPr>
          <w:rFonts w:eastAsia="楷体_GB2312"/>
          <w:bCs/>
          <w:sz w:val="24"/>
        </w:rPr>
        <w:t>设立</w:t>
      </w:r>
      <w:r>
        <w:rPr>
          <w:rFonts w:eastAsia="楷体_GB2312"/>
          <w:sz w:val="24"/>
        </w:rPr>
        <w:t>“</w:t>
      </w:r>
      <w:r>
        <w:rPr>
          <w:rFonts w:eastAsia="楷体_GB2312"/>
          <w:bCs/>
          <w:sz w:val="24"/>
        </w:rPr>
        <w:t>信托</w:t>
      </w:r>
      <w:r>
        <w:rPr>
          <w:rFonts w:eastAsia="楷体_GB2312"/>
          <w:sz w:val="24"/>
        </w:rPr>
        <w:t>”</w:t>
      </w:r>
      <w:r>
        <w:rPr>
          <w:rFonts w:eastAsia="楷体_GB2312"/>
          <w:bCs/>
          <w:sz w:val="24"/>
        </w:rPr>
        <w:t>的</w:t>
      </w:r>
      <w:r>
        <w:rPr>
          <w:rFonts w:eastAsia="楷体_GB2312"/>
          <w:sz w:val="24"/>
        </w:rPr>
        <w:t>“</w:t>
      </w:r>
      <w:r>
        <w:rPr>
          <w:rFonts w:eastAsia="楷体_GB2312"/>
          <w:bCs/>
          <w:sz w:val="24"/>
        </w:rPr>
        <w:t>信托财产</w:t>
      </w:r>
      <w:r>
        <w:rPr>
          <w:rFonts w:eastAsia="楷体_GB2312"/>
          <w:sz w:val="24"/>
        </w:rPr>
        <w:t>”还是“委托人”对“借款人”的贷款债权，则按照届时“信托财产”中对“借款人”“抵押贷款”与“委托人”对“借款人”的贷款债权的未偿本金余额的比例分配。</w:t>
      </w:r>
    </w:p>
    <w:p w14:paraId="472D1111">
      <w:pPr>
        <w:numPr>
          <w:ilvl w:val="2"/>
          <w:numId w:val="4"/>
        </w:numPr>
        <w:tabs>
          <w:tab w:val="left" w:pos="900"/>
          <w:tab w:val="left" w:pos="1843"/>
        </w:tabs>
        <w:spacing w:before="156" w:beforeLines="50" w:after="156" w:afterLines="50" w:line="360" w:lineRule="auto"/>
        <w:ind w:left="1701" w:hanging="777"/>
        <w:rPr>
          <w:rFonts w:eastAsia="楷体_GB2312"/>
          <w:b/>
          <w:sz w:val="24"/>
        </w:rPr>
      </w:pPr>
      <w:bookmarkStart w:id="103" w:name="_Toc201569392"/>
      <w:r>
        <w:rPr>
          <w:rFonts w:eastAsia="楷体_GB2312"/>
          <w:b/>
          <w:sz w:val="24"/>
        </w:rPr>
        <w:t>抵销</w:t>
      </w:r>
      <w:r>
        <w:rPr>
          <w:rFonts w:eastAsia="楷体_GB2312"/>
          <w:b/>
          <w:bCs/>
          <w:sz w:val="24"/>
        </w:rPr>
        <w:t>风险</w:t>
      </w:r>
      <w:r>
        <w:rPr>
          <w:rFonts w:eastAsia="楷体_GB2312"/>
          <w:b/>
          <w:sz w:val="24"/>
        </w:rPr>
        <w:t>持续</w:t>
      </w:r>
      <w:r>
        <w:rPr>
          <w:rFonts w:eastAsia="楷体_GB2312"/>
          <w:b/>
          <w:bCs/>
          <w:sz w:val="24"/>
        </w:rPr>
        <w:t>监控</w:t>
      </w:r>
      <w:bookmarkEnd w:id="103"/>
    </w:p>
    <w:p w14:paraId="26F49F28">
      <w:pPr>
        <w:tabs>
          <w:tab w:val="left" w:pos="900"/>
          <w:tab w:val="left" w:pos="1843"/>
        </w:tabs>
        <w:spacing w:before="156" w:beforeLines="50" w:after="156" w:afterLines="50" w:line="360" w:lineRule="auto"/>
        <w:ind w:left="1701"/>
        <w:rPr>
          <w:rFonts w:eastAsia="楷体_GB2312"/>
          <w:b/>
          <w:sz w:val="24"/>
        </w:rPr>
      </w:pPr>
      <w:r>
        <w:rPr>
          <w:rFonts w:eastAsia="楷体_GB2312"/>
          <w:b/>
          <w:bCs/>
          <w:i/>
          <w:iCs/>
          <w:color w:val="FF0000"/>
          <w:sz w:val="24"/>
        </w:rPr>
        <w:t>【注：如某期项目无需持续监控抵销风险，则删除本款。】</w:t>
      </w:r>
    </w:p>
    <w:p w14:paraId="118A7D2D">
      <w:pPr>
        <w:spacing w:before="156" w:beforeLines="50" w:after="156" w:afterLines="50" w:line="360" w:lineRule="auto"/>
        <w:ind w:left="1701"/>
        <w:rPr>
          <w:rFonts w:eastAsia="楷体_GB2312"/>
          <w:sz w:val="24"/>
        </w:rPr>
      </w:pPr>
      <w:r>
        <w:rPr>
          <w:rFonts w:eastAsia="楷体_GB2312"/>
          <w:sz w:val="24"/>
        </w:rPr>
        <w:t>自发生“权利完善事件”之(c)项或(d)项情形之日起，“委托人”应对其对“借款人”存款（包括但不限于活期存款、定期存款等）数额进行持续统计和记录，并且：</w:t>
      </w:r>
    </w:p>
    <w:p w14:paraId="08F0F14E">
      <w:pPr>
        <w:numPr>
          <w:ilvl w:val="0"/>
          <w:numId w:val="16"/>
        </w:numPr>
        <w:spacing w:before="156" w:beforeLines="50" w:after="156" w:afterLines="50" w:line="360" w:lineRule="auto"/>
        <w:rPr>
          <w:rFonts w:eastAsia="楷体_GB2312"/>
          <w:sz w:val="24"/>
        </w:rPr>
      </w:pPr>
      <w:r>
        <w:rPr>
          <w:rFonts w:eastAsia="楷体_GB2312"/>
          <w:sz w:val="24"/>
        </w:rPr>
        <w:t>“委托人”应于每个“服务机构报告日”之前将该等统计和记录结果提供给“贷款服务机构”，由“贷款服务机构”载入“贷款服务机构报告”内；</w:t>
      </w:r>
    </w:p>
    <w:p w14:paraId="1E65FB87">
      <w:pPr>
        <w:numPr>
          <w:ilvl w:val="0"/>
          <w:numId w:val="16"/>
        </w:numPr>
        <w:spacing w:before="156" w:beforeLines="50" w:after="156" w:afterLines="50" w:line="360" w:lineRule="auto"/>
        <w:rPr>
          <w:rFonts w:eastAsia="楷体_GB2312"/>
          <w:sz w:val="24"/>
        </w:rPr>
      </w:pPr>
      <w:r>
        <w:rPr>
          <w:rFonts w:eastAsia="楷体_GB2312"/>
          <w:sz w:val="24"/>
        </w:rPr>
        <w:t>“贷款服务机构”应于每个“服务机构报告日”将前述统计结果和记录提供给“受托人”及“评级机构”。</w:t>
      </w:r>
    </w:p>
    <w:bookmarkEnd w:id="81"/>
    <w:bookmarkEnd w:id="102"/>
    <w:p w14:paraId="496F3ABE">
      <w:pPr>
        <w:numPr>
          <w:ilvl w:val="0"/>
          <w:numId w:val="4"/>
        </w:numPr>
        <w:spacing w:before="156" w:beforeLines="50" w:after="156" w:afterLines="50" w:line="360" w:lineRule="auto"/>
        <w:outlineLvl w:val="0"/>
        <w:rPr>
          <w:rFonts w:eastAsia="楷体_GB2312"/>
          <w:b/>
          <w:sz w:val="24"/>
        </w:rPr>
      </w:pPr>
      <w:bookmarkStart w:id="104" w:name="_Toc146989561"/>
      <w:bookmarkEnd w:id="104"/>
      <w:bookmarkStart w:id="105" w:name="_Toc146989559"/>
      <w:bookmarkEnd w:id="105"/>
      <w:bookmarkStart w:id="106" w:name="_Toc146989560"/>
      <w:bookmarkEnd w:id="106"/>
      <w:bookmarkStart w:id="107" w:name="_Toc402883935"/>
      <w:bookmarkStart w:id="108" w:name="_Toc110153424"/>
      <w:bookmarkStart w:id="109" w:name="_Toc111281774"/>
      <w:bookmarkStart w:id="110" w:name="_Toc221382848"/>
      <w:r>
        <w:rPr>
          <w:rFonts w:eastAsia="楷体_GB2312"/>
          <w:b/>
          <w:sz w:val="24"/>
        </w:rPr>
        <w:t>委</w:t>
      </w:r>
      <w:bookmarkStart w:id="111" w:name="_Toc92612911"/>
      <w:r>
        <w:rPr>
          <w:rFonts w:eastAsia="楷体_GB2312"/>
          <w:b/>
          <w:sz w:val="24"/>
        </w:rPr>
        <w:t>托人</w:t>
      </w:r>
      <w:bookmarkEnd w:id="107"/>
      <w:bookmarkEnd w:id="108"/>
      <w:bookmarkEnd w:id="109"/>
      <w:bookmarkEnd w:id="110"/>
    </w:p>
    <w:p w14:paraId="4B2D568D">
      <w:pPr>
        <w:spacing w:before="156" w:beforeLines="50" w:after="156" w:afterLines="50" w:line="360" w:lineRule="auto"/>
        <w:ind w:left="425"/>
        <w:outlineLvl w:val="1"/>
        <w:rPr>
          <w:rFonts w:eastAsia="楷体_GB2312"/>
          <w:b/>
          <w:i/>
          <w:color w:val="FF0000"/>
          <w:sz w:val="24"/>
        </w:rPr>
      </w:pPr>
      <w:r>
        <w:rPr>
          <w:rFonts w:eastAsia="楷体_GB2312"/>
          <w:b/>
          <w:bCs/>
          <w:i/>
          <w:color w:val="FF0000"/>
          <w:sz w:val="24"/>
        </w:rPr>
        <w:t>【注：委托人的权利、义务、陈述与保证、资产保证条款可根据项目具体情况进行补充或调整。】</w:t>
      </w:r>
    </w:p>
    <w:bookmarkEnd w:id="111"/>
    <w:p w14:paraId="255E3CA9">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112" w:name="_Toc111281775"/>
      <w:bookmarkStart w:id="113" w:name="_Toc110153425"/>
      <w:r>
        <w:rPr>
          <w:rFonts w:eastAsia="楷体_GB2312"/>
          <w:b/>
          <w:bCs/>
          <w:sz w:val="24"/>
        </w:rPr>
        <w:t>委</w:t>
      </w:r>
      <w:bookmarkStart w:id="114" w:name="_Toc92612912"/>
      <w:r>
        <w:rPr>
          <w:rFonts w:eastAsia="楷体_GB2312"/>
          <w:b/>
          <w:bCs/>
          <w:sz w:val="24"/>
        </w:rPr>
        <w:t>托人</w:t>
      </w:r>
      <w:r>
        <w:rPr>
          <w:rFonts w:eastAsia="楷体_GB2312"/>
          <w:b/>
          <w:sz w:val="24"/>
        </w:rPr>
        <w:t>的权利</w:t>
      </w:r>
      <w:bookmarkEnd w:id="112"/>
      <w:bookmarkEnd w:id="113"/>
    </w:p>
    <w:bookmarkEnd w:id="114"/>
    <w:p w14:paraId="2B49E64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有权获得“资产支持证券募集资金净额”。</w:t>
      </w:r>
    </w:p>
    <w:p w14:paraId="4D14053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可向“受托人”了解“信托财产”的管理、处分及收支情况，并可要求“受托人”做出相应说明。</w:t>
      </w:r>
    </w:p>
    <w:p w14:paraId="1417E2A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可查阅、抄录或者复制与“信托财产”有关的信托账目以及处理信托事务的其他文件。</w:t>
      </w:r>
    </w:p>
    <w:p w14:paraId="735EB678">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所适用的“中国”“法律”规定的和本合同约定的其他权利。</w:t>
      </w:r>
    </w:p>
    <w:p w14:paraId="138B1454">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115" w:name="_Toc111281776"/>
      <w:bookmarkStart w:id="116" w:name="_Toc110153426"/>
      <w:r>
        <w:rPr>
          <w:rFonts w:eastAsia="楷体_GB2312"/>
          <w:b/>
          <w:bCs/>
          <w:sz w:val="24"/>
        </w:rPr>
        <w:t>委</w:t>
      </w:r>
      <w:bookmarkStart w:id="117" w:name="_Toc92612913"/>
      <w:r>
        <w:rPr>
          <w:rFonts w:eastAsia="楷体_GB2312"/>
          <w:b/>
          <w:bCs/>
          <w:sz w:val="24"/>
        </w:rPr>
        <w:t>托人</w:t>
      </w:r>
      <w:r>
        <w:rPr>
          <w:rFonts w:eastAsia="楷体_GB2312"/>
          <w:b/>
          <w:sz w:val="24"/>
        </w:rPr>
        <w:t>的义务</w:t>
      </w:r>
      <w:bookmarkEnd w:id="115"/>
      <w:bookmarkEnd w:id="116"/>
    </w:p>
    <w:bookmarkEnd w:id="117"/>
    <w:p w14:paraId="5997A25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“委托人”应对“法律顾问”、“会计顾问/税务顾问”、“评级机构”等中介服务机构所进行的工作给予必要的配合，包括但不限于“委托人”应尽量提供前述中介服务机构进行工作所需的资料。</w:t>
      </w:r>
    </w:p>
    <w:p w14:paraId="293CF7C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“委托人”同意“受托人”按本合同约定的方式管理、运用、处分“信托财产”。</w:t>
      </w:r>
    </w:p>
    <w:p w14:paraId="22FA1191">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根据“本合同”将“信托财产”信托予“受托人”之外，“委托人”不得再将“信托财产”出售、质押、抵押、转让或转移给任何其他主体，不得采取其他行动损害“受托人”对“信托财产”或“账户记录”享有的权利，不得在“信托财产”或相关“账户记录”上设立或允许存在任何担保。</w:t>
      </w:r>
    </w:p>
    <w:p w14:paraId="6E80A8B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“委托人”应按照本合同的约定“赎回”“不合格信贷资产”。</w:t>
      </w:r>
    </w:p>
    <w:p w14:paraId="58D5416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在发生“权利完善事件”时，“委托人”有义务就“信贷资产”已经设立“信托”的相关事宜通知“借款人”和“担保人”（如有）。</w:t>
      </w:r>
    </w:p>
    <w:p w14:paraId="083C07C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在“信托”设立后，“委托人”对“受托人”履行信托义务应予以必要配合。</w:t>
      </w:r>
    </w:p>
    <w:p w14:paraId="02034FF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在“信托”设立后，如果“委托人”收到“借款人”支付的属于“信托财产”的资金，则“委托人”应将该资金及时交付给届时“受托人”指定的“贷款服务机构”，归入“信托财产”。</w:t>
      </w:r>
    </w:p>
    <w:p w14:paraId="541E5A3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根据本合同第</w:t>
      </w:r>
      <w:r>
        <w:rPr>
          <w:rFonts w:eastAsia="楷体_GB2312"/>
          <w:sz w:val="24"/>
        </w:rPr>
        <w:fldChar w:fldCharType="begin"/>
      </w:r>
      <w:r>
        <w:rPr>
          <w:rFonts w:eastAsia="楷体_GB2312"/>
          <w:sz w:val="24"/>
        </w:rPr>
        <w:instrText xml:space="preserve"> REF _Ref432774071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款的约定代为持有“抵押权预告登记权益”及办理“抵押权”和“抵押权预告登记权益”的设立、转移登记手续。</w:t>
      </w:r>
    </w:p>
    <w:p w14:paraId="2B77DA6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除根据“《信托合同》”第</w:t>
      </w:r>
      <w:r>
        <w:rPr>
          <w:rFonts w:eastAsia="楷体_GB2312"/>
          <w:sz w:val="24"/>
        </w:rPr>
        <w:fldChar w:fldCharType="begin"/>
      </w:r>
      <w:r>
        <w:rPr>
          <w:rFonts w:eastAsia="楷体_GB2312"/>
          <w:sz w:val="24"/>
        </w:rPr>
        <w:instrText xml:space="preserve"> REF _Ref432774071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的约定将“抵押权”、“抵押权预告登记权益”转移登记至“受托人”名下外，“委托人”不得办理“抵押权”、“抵押权预告登记权益”的转移登记、注销登记，不得同意“抵押人”在“抵押房产”上设定其他抵押担保，也不得放弃“抵押权”。</w:t>
      </w:r>
    </w:p>
    <w:p w14:paraId="3001A96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若“抵押贷款”项下的“抵押房产”被人民法院查封、扣押或“受托人”提起关于“抵押房产”的诉讼，“委托人”应积极配合“受托人”，证明“抵押贷款”及“附属权益”已经合法转让给“受托人”。</w:t>
      </w:r>
    </w:p>
    <w:p w14:paraId="4ACBEEE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所适用的“中国”“法律”规定的和本合同约定的其他与“信托财产”相关的义务。</w:t>
      </w:r>
    </w:p>
    <w:p w14:paraId="0C9875F3">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118" w:name="_Toc148384187"/>
      <w:bookmarkEnd w:id="118"/>
      <w:bookmarkStart w:id="119" w:name="_Toc148440777"/>
      <w:bookmarkEnd w:id="119"/>
      <w:bookmarkStart w:id="120" w:name="_Toc110153427"/>
      <w:bookmarkStart w:id="121" w:name="_Toc111281777"/>
      <w:r>
        <w:rPr>
          <w:rFonts w:eastAsia="楷体_GB2312"/>
          <w:b/>
          <w:bCs/>
          <w:sz w:val="24"/>
        </w:rPr>
        <w:t>委</w:t>
      </w:r>
      <w:bookmarkStart w:id="122" w:name="_Toc92612914"/>
      <w:r>
        <w:rPr>
          <w:rFonts w:eastAsia="楷体_GB2312"/>
          <w:b/>
          <w:bCs/>
          <w:sz w:val="24"/>
        </w:rPr>
        <w:t>托人</w:t>
      </w:r>
      <w:r>
        <w:rPr>
          <w:rFonts w:eastAsia="楷体_GB2312"/>
          <w:b/>
          <w:sz w:val="24"/>
        </w:rPr>
        <w:t>的陈述</w:t>
      </w:r>
      <w:bookmarkEnd w:id="120"/>
      <w:bookmarkEnd w:id="121"/>
      <w:bookmarkEnd w:id="122"/>
      <w:r>
        <w:rPr>
          <w:rFonts w:eastAsia="楷体_GB2312"/>
          <w:b/>
          <w:sz w:val="24"/>
        </w:rPr>
        <w:t>和保证</w:t>
      </w:r>
    </w:p>
    <w:p w14:paraId="4FF1ABF1">
      <w:pPr>
        <w:spacing w:before="156" w:beforeLines="50" w:after="156" w:afterLines="50" w:line="360" w:lineRule="auto"/>
        <w:ind w:left="851"/>
        <w:rPr>
          <w:rFonts w:eastAsia="楷体_GB2312"/>
          <w:sz w:val="24"/>
        </w:rPr>
      </w:pPr>
      <w:bookmarkStart w:id="123" w:name="_DV_M431"/>
      <w:bookmarkEnd w:id="123"/>
      <w:bookmarkStart w:id="124" w:name="_DV_M432"/>
      <w:bookmarkEnd w:id="124"/>
      <w:bookmarkStart w:id="125" w:name="_DV_M428"/>
      <w:bookmarkEnd w:id="125"/>
      <w:bookmarkStart w:id="126" w:name="_DV_M426"/>
      <w:bookmarkEnd w:id="126"/>
      <w:bookmarkStart w:id="127" w:name="_DV_M423"/>
      <w:bookmarkEnd w:id="127"/>
      <w:bookmarkStart w:id="128" w:name="_DV_M408"/>
      <w:bookmarkEnd w:id="128"/>
      <w:bookmarkStart w:id="129" w:name="_DV_M417"/>
      <w:bookmarkEnd w:id="129"/>
      <w:bookmarkStart w:id="130" w:name="_DV_M422"/>
      <w:bookmarkEnd w:id="130"/>
      <w:bookmarkStart w:id="131" w:name="_DV_M425"/>
      <w:bookmarkEnd w:id="131"/>
      <w:bookmarkStart w:id="132" w:name="_DV_M429"/>
      <w:bookmarkEnd w:id="132"/>
      <w:bookmarkStart w:id="133" w:name="_DV_M427"/>
      <w:bookmarkEnd w:id="133"/>
      <w:bookmarkStart w:id="134" w:name="_DV_M418"/>
      <w:bookmarkEnd w:id="134"/>
      <w:bookmarkStart w:id="135" w:name="_DV_M406"/>
      <w:bookmarkEnd w:id="135"/>
      <w:bookmarkStart w:id="136" w:name="_DV_M414"/>
      <w:bookmarkEnd w:id="136"/>
      <w:bookmarkStart w:id="137" w:name="_DV_M409"/>
      <w:bookmarkEnd w:id="137"/>
      <w:bookmarkStart w:id="138" w:name="_DV_M407"/>
      <w:bookmarkEnd w:id="138"/>
      <w:bookmarkStart w:id="139" w:name="_DV_M430"/>
      <w:bookmarkEnd w:id="139"/>
      <w:bookmarkStart w:id="140" w:name="_DV_M416"/>
      <w:bookmarkEnd w:id="140"/>
      <w:bookmarkStart w:id="141" w:name="_DV_M404"/>
      <w:bookmarkEnd w:id="141"/>
      <w:bookmarkStart w:id="142" w:name="_DV_M411"/>
      <w:bookmarkEnd w:id="142"/>
      <w:bookmarkStart w:id="143" w:name="_DV_M421"/>
      <w:bookmarkEnd w:id="143"/>
      <w:bookmarkStart w:id="144" w:name="_DV_M413"/>
      <w:bookmarkEnd w:id="144"/>
      <w:bookmarkStart w:id="145" w:name="_DV_M420"/>
      <w:bookmarkEnd w:id="145"/>
      <w:bookmarkStart w:id="146" w:name="_DV_M410"/>
      <w:bookmarkEnd w:id="146"/>
      <w:bookmarkStart w:id="147" w:name="_DV_M412"/>
      <w:bookmarkEnd w:id="147"/>
      <w:bookmarkStart w:id="148" w:name="_DV_M405"/>
      <w:bookmarkEnd w:id="148"/>
      <w:bookmarkStart w:id="149" w:name="_DV_M424"/>
      <w:bookmarkEnd w:id="149"/>
      <w:bookmarkStart w:id="150" w:name="_DV_M419"/>
      <w:bookmarkEnd w:id="150"/>
      <w:bookmarkStart w:id="151" w:name="_DV_M415"/>
      <w:bookmarkEnd w:id="151"/>
      <w:r>
        <w:rPr>
          <w:rFonts w:eastAsia="楷体_GB2312"/>
          <w:sz w:val="24"/>
        </w:rPr>
        <w:t>在本合同签署之日（或本条款约定的任何其他日期），为本合同其他相关各方的利益，“委托人”陈述并保证如下：</w:t>
      </w:r>
    </w:p>
    <w:p w14:paraId="055E0D0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本合同签署之日，“委托人”已按照“中国”“法律”正式注册成立并有效存续，具有继续进行其正在经营之业务和履行本合同条款的各项权利和授权；</w:t>
      </w:r>
    </w:p>
    <w:p w14:paraId="04267C2B">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为授权签署本合同，“委托人”已履行一切必要的内部程序。本合同构成“委托人”合法的、有效的和有约束力的义务，其他相关方可按照本合同的条款对其主张相应权利（除非该等权利的主张受到现时或未来有效并涉及影响债权人的权利和救济的破产、重整、和解或其他类似“中国”“法律”的限制）；</w:t>
      </w:r>
    </w:p>
    <w:p w14:paraId="5376410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交易文件”另有约定的以外，“委托人”已为签署和交付本合同以及履行本合同项下约定之义务取得了各项必要的确认、同意、许可、批准和授权，并已办理了各项必要的声明、申请、备案、登记、通知和报告手续；</w:t>
      </w:r>
    </w:p>
    <w:p w14:paraId="7AAAA23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据“委托人”所知，本合同签署之日，“委托人”签署、交付和履行本合同条款，第一，不违反或抵触适用于“委托人”的任何“中国”“法律”规定；第二，不违反“委托人”的组建文件；第三，不违反或不会导致“委托人”违反其作为一方或对其或其财产有约束力的任何有效协议、契据、承诺、判决或命令的规定，且不会因此导致“重大不利影响”；第四，不会构成任何该等协议、契据或承诺项下的违约事件，且不会因此导致“重大不利影响”；</w:t>
      </w:r>
    </w:p>
    <w:p w14:paraId="7F1DA93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就“委托人”所知，本合同签署之日，未出现或持续存在任何其他不利事件，也不存在任何不利状况，会构成违反“委托人”作为一方或对其或其财产有约束力的任何协议或契据项下的约定，且可能因此导致“重大不利影响”；</w:t>
      </w:r>
    </w:p>
    <w:p w14:paraId="2FF1746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就“委托人”所知，本合同签署之日，没有任何诉讼、仲裁或其他司法或者行政争端威胁、质疑本合同或根据本合同已采取或将要采取的行动的有效性，或有可能个别地或整体地导致“重大不利影响”；“委托人”没有违反任何可能导致“重大不利影响”的政府机构命令；</w:t>
      </w:r>
    </w:p>
    <w:p w14:paraId="5D0C648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具有清偿债务的能力，在可合理预见的未来，不会因“信托”的设立、“信托财产”的转移、本合同或其他“交易文件”项下的任何其他交易而丧失清偿能力；“委托人”未发生“丧失清偿能力事件”；“委托人”未采取任何公司行动，也没有他人针对“委托人”采取其他任何不利步骤，或者开始或即将启动任何法律程序，以使其解散或就其或其全部或部分财产或收入委任接管人、清算人或类似人员；“委托人”有清偿能力能够履行其任一债务，对其不存在争议（包括但不限于诉讼和仲裁）的债务，不会故意迟延履行；</w:t>
      </w:r>
    </w:p>
    <w:p w14:paraId="3F7923E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“委托人”公布的其最近一财务年度经审计的财务报告，能够准确地反映“委托人”在该等报告期间的财务状况；且自该等财务报告出具之日以后，亦未发生“重大不利变化”；</w:t>
      </w:r>
    </w:p>
    <w:p w14:paraId="25620EE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“委托人”将及时报送本合同项下所有须由“委托人”报送的纳税申报表，并将及时缴纳本合同项下依法应由“委托人”承担的税款、税项、摊派税款和其他经合法批准的政府收费；</w:t>
      </w:r>
    </w:p>
    <w:p w14:paraId="3DE1CB0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本合同项下设立的“信托”，按照所适用的“中国”“法律”并非是可撤销的、或为非法的目的而设，“委托人”进行“交易文件”项下的交易也并非出于非法的目的；</w:t>
      </w:r>
    </w:p>
    <w:p w14:paraId="1A364D4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就“委托人”所知，本合同签署之日，未出现任何不利事件，也不存在任何不利状况，且按照本合同以“信托财产”设立信托或运用其收益也不会导致任何不利事件或状况，而构成或被合理预期将构成任何“违约事件”；</w:t>
      </w:r>
    </w:p>
    <w:p w14:paraId="303F0A5D">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“委托人”在“交易文件”中作出的陈述和保证，在所有重大方面均真实、完整和准确；</w:t>
      </w:r>
    </w:p>
    <w:p w14:paraId="7D7D516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为“交易文件”项下交易或与之有关的目的，在“信托财产交付日”之前提供给“受托人”、“会计顾问/税务顾问”、“法律顾问”、“评级机构”或“承销商”的所有书面信息（如有，该等信息在“信托财产交付日”之前可能已被更新或补充），以及“委托人”在“信托财产交付日”之后提供给“受托人”、“评级机构”、“审计师”或“资产支持证券持有人”的所有书面信息（如有），在该等信息陈述或确认之日在所有重大方面均真实、完整和准确；</w:t>
      </w:r>
    </w:p>
    <w:p w14:paraId="4BA8980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签署、交付和履行本合同以及根据本合同设立“信托”和转移全部“信托财产”均系商业行为，并非公共或政府行为；“委托人”及“信托财产”在“中国”“法律”项下对于法律程序文件的送达、管辖权、诉讼、仲裁、判决、仲裁裁决、抵销、反请求、强制执行判决、查封财产（无论是在诉讼前还是之后为执行判决）以及其他法律程序均不享有任何豁免权；</w:t>
      </w:r>
    </w:p>
    <w:p w14:paraId="1DDE67C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“委托人”确认，本合同项下的交易不会对“委托人”的任何第三方债权人的任何权利和正当利益产生“重大不利影响”，且不违反“中国”“法律”的规定；</w:t>
      </w:r>
    </w:p>
    <w:p w14:paraId="783FAEC1">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“委托人”确认，在选择“信贷资产”过程中，未使用任何会对“资产支持证券持有人”的合法或正当利益产生“重大不利影响”的筛选程序；</w:t>
      </w:r>
    </w:p>
    <w:p w14:paraId="3E20192D">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就委托人所知，“委托人”参与的其他任何交易不会对本合同和其他“交易文件”项下所约定的交易以及“受托人”关于“信托财产”及在“交易文件”项下的权利或利益造成“重大不利影响”；</w:t>
      </w:r>
    </w:p>
    <w:p w14:paraId="70729EF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就委托人所知，“委托人”将“信托财产”信托和转移给“受托人”的行为，不违反“中国”“法律”的相关规定；</w:t>
      </w:r>
    </w:p>
    <w:p w14:paraId="7848B4A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在“信托财产交付日”，“委托人”交付的“信贷资产”实质上不构成“委托人”在该日的全部资产；</w:t>
      </w:r>
    </w:p>
    <w:p w14:paraId="1848605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在“信托财产交付日”当日，没有因“委托人”的原因而导致的“违约事件”发生；</w:t>
      </w:r>
    </w:p>
    <w:p w14:paraId="2BA4971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“信托”的设立不会损害任何被信托的“信贷资产”项下可对“借款人”主张的权利；</w:t>
      </w:r>
    </w:p>
    <w:p w14:paraId="64450AA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设立“信托”的目的不违反“中国”“法律”或者损害社会公共利益；</w:t>
      </w:r>
    </w:p>
    <w:p w14:paraId="47B64C1C">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“信托”并非专为诉讼或讨债而设立。</w:t>
      </w:r>
    </w:p>
    <w:p w14:paraId="3792A4CA">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152" w:name="_Toc148384194"/>
      <w:bookmarkEnd w:id="152"/>
      <w:bookmarkStart w:id="153" w:name="_Toc148384191"/>
      <w:bookmarkEnd w:id="153"/>
      <w:bookmarkStart w:id="154" w:name="_Toc148384193"/>
      <w:bookmarkEnd w:id="154"/>
      <w:bookmarkStart w:id="155" w:name="_Toc148384195"/>
      <w:bookmarkEnd w:id="155"/>
      <w:bookmarkStart w:id="156" w:name="_Toc148440779"/>
      <w:bookmarkEnd w:id="156"/>
      <w:bookmarkStart w:id="157" w:name="_Toc148384189"/>
      <w:bookmarkEnd w:id="157"/>
      <w:bookmarkStart w:id="158" w:name="_Toc148440788"/>
      <w:bookmarkEnd w:id="158"/>
      <w:bookmarkStart w:id="159" w:name="_Toc148440780"/>
      <w:bookmarkEnd w:id="159"/>
      <w:bookmarkStart w:id="160" w:name="_Toc148440782"/>
      <w:bookmarkEnd w:id="160"/>
      <w:bookmarkStart w:id="161" w:name="_Toc148440783"/>
      <w:bookmarkEnd w:id="161"/>
      <w:bookmarkStart w:id="162" w:name="_Toc146989567"/>
      <w:bookmarkEnd w:id="162"/>
      <w:bookmarkStart w:id="163" w:name="_Toc148440781"/>
      <w:bookmarkEnd w:id="163"/>
      <w:bookmarkStart w:id="164" w:name="_Toc148384197"/>
      <w:bookmarkEnd w:id="164"/>
      <w:bookmarkStart w:id="165" w:name="_Toc148440785"/>
      <w:bookmarkEnd w:id="165"/>
      <w:bookmarkStart w:id="166" w:name="_Toc148440786"/>
      <w:bookmarkEnd w:id="166"/>
      <w:bookmarkStart w:id="167" w:name="_Toc148384198"/>
      <w:bookmarkEnd w:id="167"/>
      <w:bookmarkStart w:id="168" w:name="_Toc148384196"/>
      <w:bookmarkEnd w:id="168"/>
      <w:bookmarkStart w:id="169" w:name="_Toc148440787"/>
      <w:bookmarkEnd w:id="169"/>
      <w:bookmarkStart w:id="170" w:name="_Toc148384192"/>
      <w:bookmarkEnd w:id="170"/>
      <w:bookmarkStart w:id="171" w:name="_Toc146989568"/>
      <w:bookmarkEnd w:id="171"/>
      <w:bookmarkStart w:id="172" w:name="_Toc148440784"/>
      <w:bookmarkEnd w:id="172"/>
      <w:bookmarkStart w:id="173" w:name="_Toc148384190"/>
      <w:bookmarkEnd w:id="173"/>
      <w:bookmarkStart w:id="174" w:name="_Toc111281778"/>
      <w:bookmarkStart w:id="175" w:name="_Toc110153428"/>
      <w:r>
        <w:rPr>
          <w:rFonts w:eastAsia="楷体_GB2312"/>
          <w:b/>
          <w:bCs/>
          <w:sz w:val="24"/>
        </w:rPr>
        <w:t>资产</w:t>
      </w:r>
      <w:r>
        <w:rPr>
          <w:rFonts w:eastAsia="楷体_GB2312"/>
          <w:b/>
          <w:sz w:val="24"/>
        </w:rPr>
        <w:t>保证</w:t>
      </w:r>
      <w:bookmarkEnd w:id="174"/>
      <w:bookmarkEnd w:id="175"/>
    </w:p>
    <w:p w14:paraId="0FC8B253">
      <w:pPr>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【注：可根据项目具体情况进行调整。】</w:t>
      </w:r>
    </w:p>
    <w:p w14:paraId="216DE4EF">
      <w:pPr>
        <w:spacing w:before="156" w:beforeLines="50" w:after="156" w:afterLines="50" w:line="360" w:lineRule="auto"/>
        <w:ind w:left="851"/>
        <w:rPr>
          <w:rFonts w:eastAsia="楷体_GB2312"/>
          <w:sz w:val="24"/>
        </w:rPr>
      </w:pPr>
      <w:r>
        <w:rPr>
          <w:rFonts w:eastAsia="楷体_GB2312"/>
          <w:sz w:val="24"/>
        </w:rPr>
        <w:t>为本合同其他各方的利益，“委托人”于“初始起算日”和“信托财产交付日”（除非具体条款中另有明确约定）就其向“受托人”交付的每一笔“信贷资产”的状况，作出陈述和保证如下：</w:t>
      </w:r>
    </w:p>
    <w:p w14:paraId="0FF462F1">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176" w:name="_DV_M436"/>
      <w:bookmarkEnd w:id="176"/>
      <w:r>
        <w:rPr>
          <w:rFonts w:eastAsia="楷体_GB2312"/>
          <w:sz w:val="24"/>
        </w:rPr>
        <w:t>“委托人”是每一笔“信贷资产”的唯一债权人且拥有合法的请求权；“委托人”未向任何第三方转让该等权利或利益；且“委托人”未对该等权利或利益设定任何担保权益、质押或任何其他财产负担；</w:t>
      </w:r>
    </w:p>
    <w:p w14:paraId="2D848148">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177" w:name="_DV_M437"/>
      <w:bookmarkEnd w:id="177"/>
      <w:r>
        <w:rPr>
          <w:rFonts w:eastAsia="楷体_GB2312"/>
          <w:sz w:val="24"/>
        </w:rPr>
        <w:t>每一笔“信贷资产”均符合本合同第</w:t>
      </w:r>
      <w:r>
        <w:rPr>
          <w:rFonts w:eastAsia="楷体_GB2312"/>
          <w:sz w:val="24"/>
        </w:rPr>
        <w:fldChar w:fldCharType="begin"/>
      </w:r>
      <w:r>
        <w:rPr>
          <w:rFonts w:eastAsia="楷体_GB2312"/>
          <w:sz w:val="24"/>
        </w:rPr>
        <w:instrText xml:space="preserve"> REF _Ref148383501 \r \h  \* MERGEFORMAT </w:instrText>
      </w:r>
      <w:r>
        <w:rPr>
          <w:rFonts w:eastAsia="楷体_GB2312"/>
          <w:sz w:val="24"/>
        </w:rPr>
        <w:fldChar w:fldCharType="separate"/>
      </w:r>
      <w:r>
        <w:rPr>
          <w:rFonts w:eastAsia="楷体_GB2312"/>
          <w:sz w:val="24"/>
        </w:rPr>
        <w:t>3.7</w:t>
      </w:r>
      <w:r>
        <w:rPr>
          <w:rFonts w:eastAsia="楷体_GB2312"/>
          <w:sz w:val="24"/>
        </w:rPr>
        <w:fldChar w:fldCharType="end"/>
      </w:r>
      <w:r>
        <w:rPr>
          <w:rFonts w:eastAsia="楷体_GB2312"/>
          <w:sz w:val="24"/>
        </w:rPr>
        <w:t>款所约定的范围、种类、“合格标准”、状况；</w:t>
      </w:r>
    </w:p>
    <w:p w14:paraId="4F6076C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“委托人”向“受托人”提供的关于“信贷资产”的必要的资料和信息，在所有可能对债权回收的实现有重大影响的方面均真实、准确和完整；</w:t>
      </w:r>
    </w:p>
    <w:p w14:paraId="42BA99E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生效日”，除非善意第三人就“抵押房产”主张权利，“受托机构”将成为“信贷资产”中各“抵押贷款”的唯一债权人、各已办理“抵押权”设立登记的“抵押房产”的抵押权人、各“抵押权预告登记权益”权利人以及对“附属权益”拥有合法的请求权；为对抗“借款人”、“抵押人”、“保证人”、“出质人”、其他善意第三人还需要根据“交易文件”约定的时间发出“权利完善通知”并办理“抵押权”及“抵押权预告登记权益”的转移登记手续；并且“受托人”将对与“信托财产”有关的任何文件、记录和数据，拥有完整的、不受妨碍和唯一合法的所有权；“委托人”作为一方的“交易文件”项下的任何交易（包括但不限于“信贷资产”的转移）均不构成欺诈性的让与；</w:t>
      </w:r>
    </w:p>
    <w:p w14:paraId="0BAED6F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每位“借款人”履行“抵押贷款合同”项下义务的所有先决条件均已得到满足；</w:t>
      </w:r>
    </w:p>
    <w:p w14:paraId="4D795D01">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交易文件”约定的以外，“委托人”未就其在任何或部分“信贷资产”中或与任何或部分“信贷资产”有关的所有权及相关权益，给予或同意给予任何第三方对“信贷资产”的回收产生“重大不利影响”的选择权；也未处置或同意任何第三方处置其在任何或部分“信贷资产”中或与任何或部分“信贷资产”有关的所有权及相关权益；</w:t>
      </w:r>
    </w:p>
    <w:p w14:paraId="43F1CDB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“委托人”对每笔“信贷资产”享有的所有权并非是无效的或已被撤销、宣布无效或被废止，亦不能被撤销、宣布无效或被废止；</w:t>
      </w:r>
    </w:p>
    <w:p w14:paraId="2E6D19C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出售、转让和转移其在“信贷资产”中的所有权和其他有关权益的权利不受任何限制；任何“信贷资产”（或其任何部分）均不是其他证券化交易的对象，且不曾被“委托人”出售、转让、质押、转移或以任何方式处置，以致使“委托人”出售、转让和转移其在“信贷资产”中的所有权和其他有关权益的权利受到任何限制；</w:t>
      </w:r>
    </w:p>
    <w:p w14:paraId="2A83BC2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已取得或作出且现行有效的政府机构的批准、许可、授权、备案、登记、记录或其他手续以外，不需要其他政府机构的批准、许可、授权、备案、登记、记录或其他手续（包括但不限于“抵押房产”的登记）以确保与“信贷资产”相关的任何文件的有效性、可执行性或作为证据的可接受性，但上述约定不影响在发生“权利完善事件”时根据本合同第</w:t>
      </w:r>
      <w:r>
        <w:rPr>
          <w:rFonts w:eastAsia="楷体_GB2312"/>
          <w:sz w:val="24"/>
        </w:rPr>
        <w:fldChar w:fldCharType="begin"/>
      </w:r>
      <w:r>
        <w:rPr>
          <w:rFonts w:eastAsia="楷体_GB2312"/>
          <w:sz w:val="24"/>
        </w:rPr>
        <w:instrText xml:space="preserve"> REF _Ref432774071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款约定须办理的“抵押权”和“抵押权预告登记权益”的设立、转移登记手续；</w:t>
      </w:r>
    </w:p>
    <w:p w14:paraId="1AD595C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“信贷资产”由“委托人”在其一般经营过程中，按照其标准贷款程序和所有其他可适用的与“信贷资产”业务有关的政策、实践以及程序的要求而发放；</w:t>
      </w:r>
    </w:p>
    <w:p w14:paraId="0EDFF84B">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“信贷资产”的发放均符合“中国”“法律”的各项要求；</w:t>
      </w:r>
    </w:p>
    <w:p w14:paraId="41451888">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“委托人”将每笔“信贷资产”设立信托的行为，不会由于任何原因而被禁止或限制，且不需要获得“借款人”或任何其他主体的同意；</w:t>
      </w:r>
    </w:p>
    <w:p w14:paraId="12CAF798">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每笔“信贷资产”是相关“借款人”合法、有效和有约束力的支付义务，并且可按照“抵押贷款合同”、“保证合同”（如有）、“质押合同”（如有）及相关补充协议的条款对该“借款人”、“担保人”（如有）主张权利；</w:t>
      </w:r>
    </w:p>
    <w:p w14:paraId="0F89421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在将“信贷资产”信托给“受托人”时，除“交易文件”另有约定的以外（包括但不限于发送“权利完善通知”、办理“抵押权”、“抵押权预告登记权益”转移登记），“委托人”已经履行了“抵押贷款合同”、“保证合同”（如有）、“质押合同”（如有）应履行的主要义务；</w:t>
      </w:r>
    </w:p>
    <w:p w14:paraId="1FB80A0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“信托财产交付日”之前，就每一笔“信贷资产”而言，“委托人”持有与该笔“信贷资产”有关的、为“信贷资产”提供适当有效的服务和执行所必需的各项文件；</w:t>
      </w:r>
    </w:p>
    <w:p w14:paraId="72645F9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“委托人”将（或已经）把其在每笔“信贷资产”和相关收入中的权利和相关权益有效地信托予“受托人”，并且“委托人”将把与上述权益有关的记录和信息有效地转让给“受托人”；</w:t>
      </w:r>
    </w:p>
    <w:p w14:paraId="0FB4098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财产交付日”，“受托人”对每笔“信贷资产”享有能够对抗所有主体（“借款人”、“担保人”除外）的合法的、有效的、可执行的所有者权利，该权利上未设定任何种类的担保权益或产权负担；为对抗“借款人”、“担保人”（如有），还须根据本合同送达“权利完善通知”并根据本合同第</w:t>
      </w:r>
      <w:r>
        <w:rPr>
          <w:rFonts w:eastAsia="楷体_GB2312"/>
          <w:sz w:val="24"/>
        </w:rPr>
        <w:fldChar w:fldCharType="begin"/>
      </w:r>
      <w:r>
        <w:rPr>
          <w:rFonts w:eastAsia="楷体_GB2312"/>
          <w:sz w:val="24"/>
        </w:rPr>
        <w:instrText xml:space="preserve"> REF _Ref432774071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款约定须办理的“抵押权”和“抵押权预告登记权益”的设立、转移登记手续；</w:t>
      </w:r>
    </w:p>
    <w:p w14:paraId="08DE92FB">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将任何“信贷资产”设立“信托”时或之前，“委托人”无故意或重大过失行为损害“受托人”对该“信贷资产”所享有的合法权利；</w:t>
      </w:r>
    </w:p>
    <w:p w14:paraId="5DB9623A">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每笔“信贷资产”都能够并将始终能够为确认所有权的目的与其他“信贷资产”相分离；</w:t>
      </w:r>
    </w:p>
    <w:p w14:paraId="2BFA2A0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没有任何一笔“信贷资产”因要避免拖欠或违约而重新制定还款计划、减少贷款额、重组或变更。</w:t>
      </w:r>
    </w:p>
    <w:p w14:paraId="372A4786">
      <w:pPr>
        <w:numPr>
          <w:ilvl w:val="0"/>
          <w:numId w:val="4"/>
        </w:numPr>
        <w:spacing w:before="156" w:beforeLines="50" w:after="156" w:afterLines="50" w:line="360" w:lineRule="auto"/>
        <w:outlineLvl w:val="0"/>
        <w:rPr>
          <w:rFonts w:eastAsia="楷体_GB2312"/>
          <w:b/>
          <w:sz w:val="24"/>
        </w:rPr>
      </w:pPr>
      <w:bookmarkStart w:id="178" w:name="_Toc148440794"/>
      <w:bookmarkEnd w:id="178"/>
      <w:bookmarkStart w:id="179" w:name="_Toc148384205"/>
      <w:bookmarkEnd w:id="179"/>
      <w:bookmarkStart w:id="180" w:name="_Toc148384200"/>
      <w:bookmarkEnd w:id="180"/>
      <w:bookmarkStart w:id="181" w:name="_Toc148440793"/>
      <w:bookmarkEnd w:id="181"/>
      <w:bookmarkStart w:id="182" w:name="_Toc148440791"/>
      <w:bookmarkEnd w:id="182"/>
      <w:bookmarkStart w:id="183" w:name="_Toc148440795"/>
      <w:bookmarkEnd w:id="183"/>
      <w:bookmarkStart w:id="184" w:name="_Toc148440792"/>
      <w:bookmarkEnd w:id="184"/>
      <w:bookmarkStart w:id="185" w:name="_Toc148384203"/>
      <w:bookmarkEnd w:id="185"/>
      <w:bookmarkStart w:id="186" w:name="_Toc148440790"/>
      <w:bookmarkEnd w:id="186"/>
      <w:bookmarkStart w:id="187" w:name="_Toc148384204"/>
      <w:bookmarkEnd w:id="187"/>
      <w:bookmarkStart w:id="188" w:name="_Toc148384201"/>
      <w:bookmarkEnd w:id="188"/>
      <w:bookmarkStart w:id="189" w:name="_Toc148384202"/>
      <w:bookmarkEnd w:id="189"/>
      <w:bookmarkStart w:id="190" w:name="_Toc111281779"/>
      <w:bookmarkStart w:id="191" w:name="_Toc402883936"/>
      <w:bookmarkStart w:id="192" w:name="_Toc221382849"/>
      <w:bookmarkStart w:id="193" w:name="_Toc110153429"/>
      <w:r>
        <w:rPr>
          <w:rFonts w:eastAsia="楷体_GB2312"/>
          <w:b/>
          <w:sz w:val="24"/>
        </w:rPr>
        <w:t>受</w:t>
      </w:r>
      <w:bookmarkStart w:id="194" w:name="_Toc92612915"/>
      <w:r>
        <w:rPr>
          <w:rFonts w:eastAsia="楷体_GB2312"/>
          <w:b/>
          <w:sz w:val="24"/>
        </w:rPr>
        <w:t>托人</w:t>
      </w:r>
      <w:bookmarkEnd w:id="190"/>
      <w:bookmarkEnd w:id="191"/>
      <w:bookmarkEnd w:id="192"/>
      <w:bookmarkEnd w:id="193"/>
    </w:p>
    <w:p w14:paraId="6C06AD61">
      <w:pPr>
        <w:spacing w:before="156" w:beforeLines="50" w:after="156" w:afterLines="50" w:line="360" w:lineRule="auto"/>
        <w:ind w:left="426"/>
        <w:outlineLvl w:val="1"/>
        <w:rPr>
          <w:rFonts w:eastAsia="楷体_GB2312"/>
          <w:b/>
          <w:i/>
          <w:color w:val="FF0000"/>
          <w:sz w:val="24"/>
        </w:rPr>
      </w:pPr>
      <w:r>
        <w:rPr>
          <w:rFonts w:eastAsia="楷体_GB2312"/>
          <w:b/>
          <w:i/>
          <w:color w:val="FF0000"/>
          <w:sz w:val="24"/>
        </w:rPr>
        <w:t>【注：受托人的权利、义务、陈述与保证条款可根据项目具体情况进行补充或调整。】</w:t>
      </w:r>
    </w:p>
    <w:bookmarkEnd w:id="194"/>
    <w:p w14:paraId="573649F0">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195" w:name="_Toc110153430"/>
      <w:bookmarkStart w:id="196" w:name="_Toc111281780"/>
      <w:r>
        <w:rPr>
          <w:rFonts w:eastAsia="楷体_GB2312"/>
          <w:b/>
          <w:bCs/>
          <w:sz w:val="24"/>
        </w:rPr>
        <w:t>受</w:t>
      </w:r>
      <w:bookmarkStart w:id="197" w:name="_Toc92612916"/>
      <w:r>
        <w:rPr>
          <w:rFonts w:eastAsia="楷体_GB2312"/>
          <w:b/>
          <w:bCs/>
          <w:sz w:val="24"/>
        </w:rPr>
        <w:t>托人</w:t>
      </w:r>
      <w:r>
        <w:rPr>
          <w:rFonts w:eastAsia="楷体_GB2312"/>
          <w:b/>
          <w:sz w:val="24"/>
        </w:rPr>
        <w:t>的权利</w:t>
      </w:r>
      <w:bookmarkEnd w:id="195"/>
      <w:bookmarkEnd w:id="196"/>
    </w:p>
    <w:bookmarkEnd w:id="197"/>
    <w:p w14:paraId="58BF650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“受托人”有权发行“资产支持证券”。</w:t>
      </w:r>
    </w:p>
    <w:p w14:paraId="4193025A">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“受托人”有权依据本合同的约定获得服务报酬。</w:t>
      </w:r>
    </w:p>
    <w:p w14:paraId="3FCDFD81">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“受托人”有权代表“信托”登记为“抵押贷款”相应的“抵押权人”或抵押权预告登记权利人。</w:t>
      </w:r>
    </w:p>
    <w:p w14:paraId="5C830A4A">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“受托人”在其认为必要时，有权提议召开“资产支持证券持有人大会”，对涉及信托事务的重大事项进行表决并按照表决结果处理信托事务。</w:t>
      </w:r>
    </w:p>
    <w:p w14:paraId="2A2E9D37">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“受托人”依据本合同约定的方式，有权管理、运用、处分本合同约定的“信托财产”。</w:t>
      </w:r>
    </w:p>
    <w:p w14:paraId="595202C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“受托人”在有利于信托目的实现的前提下，有权根据本合同的约定委托“贷款服务机构”</w:t>
      </w:r>
      <w:bookmarkStart w:id="198" w:name="_DV_C349"/>
      <w:r>
        <w:rPr>
          <w:rFonts w:eastAsia="楷体_GB2312"/>
          <w:sz w:val="24"/>
        </w:rPr>
        <w:t>、“资金保管机构”、“评级机构”、“审计师”、“法律顾问”等机构</w:t>
      </w:r>
      <w:bookmarkEnd w:id="198"/>
      <w:r>
        <w:rPr>
          <w:rFonts w:eastAsia="楷体_GB2312"/>
          <w:sz w:val="24"/>
        </w:rPr>
        <w:t>代为处理相关的信托事务。</w:t>
      </w:r>
    </w:p>
    <w:p w14:paraId="3A413DD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w:t>
      </w:r>
      <w:bookmarkStart w:id="199" w:name="_DV_C353"/>
      <w:r>
        <w:rPr>
          <w:rFonts w:eastAsia="楷体_GB2312"/>
          <w:sz w:val="24"/>
        </w:rPr>
        <w:t>根据本合同的约定</w:t>
      </w:r>
      <w:bookmarkEnd w:id="199"/>
      <w:r>
        <w:rPr>
          <w:rFonts w:eastAsia="楷体_GB2312"/>
          <w:sz w:val="24"/>
        </w:rPr>
        <w:t>委托“登记托管机构”和“支付代理机构”提供“资产支持证券”的登记托管和本息兑付服务。</w:t>
      </w:r>
    </w:p>
    <w:p w14:paraId="73ED7D9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“受托人”有权享有所适用的“中国”“法律”规定的和本合同约定的其他与“信托财产”相关的权利。</w:t>
      </w:r>
    </w:p>
    <w:p w14:paraId="78F84E6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“受托人”根据“中国”“法律”的规定和本合同的约定有权参与和了解“基础资产”筛选、确定、证券化方案的制定等“信托”设立前期全部过程，有权获取相关资料和信息。</w:t>
      </w:r>
    </w:p>
    <w:p w14:paraId="68E43D4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“受托人”有权要求“贷款服务机构”、“资金保管机构”及其他相关机构提供关于“信托财产”的信息资料，用于但不限于“信托财产”的一般管理、会计处理及对外信息披露等。</w:t>
      </w:r>
    </w:p>
    <w:p w14:paraId="170EA1E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“受托人”有权要求“贷款服务机构”、“资金保管机构”及其他相关机构配合“受托人”委任的“审计师”进行关于“信托财产”方面的审计工作。</w:t>
      </w:r>
    </w:p>
    <w:p w14:paraId="2765289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“受托人”有权要求“贷款服务机构”、“资金保管机构”及其他相关机构配合“受托人”委任的“评级机构”进行关于“资产支持证券”的持续跟踪评级工作。</w:t>
      </w:r>
    </w:p>
    <w:p w14:paraId="6ED2888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“受托人”应自己处理信托事务，但本合同另有约定或者有不得已事由的，“受托人”可委托他人代为处理。</w:t>
      </w:r>
    </w:p>
    <w:p w14:paraId="1DCDCB2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“受托人”因处理信托事务所支出的费用、对第三人所负债务，以“信托财产”承担。“受托人”以其固有财产先行支付的，就先行支付的金额，按照本合同的约定由“信托财产”予以偿还。</w:t>
      </w:r>
    </w:p>
    <w:p w14:paraId="7AF6DAD9">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200" w:name="_Toc146349245"/>
      <w:bookmarkEnd w:id="200"/>
      <w:bookmarkStart w:id="201" w:name="_Toc146349244"/>
      <w:bookmarkEnd w:id="201"/>
      <w:bookmarkStart w:id="202" w:name="_Toc146989572"/>
      <w:bookmarkEnd w:id="202"/>
      <w:bookmarkStart w:id="203" w:name="_Toc110153431"/>
      <w:bookmarkStart w:id="204" w:name="_Toc111281781"/>
      <w:r>
        <w:rPr>
          <w:rFonts w:eastAsia="楷体_GB2312"/>
          <w:sz w:val="24"/>
        </w:rPr>
        <w:t>“受托人”有权根据本合同的约定提起相应的司法程序。</w:t>
      </w:r>
    </w:p>
    <w:p w14:paraId="6B36AE91">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“受托人”有权基于自身合理的判断自主选择和委托“审计师”以及信托清算时必要的其他中介机构。</w:t>
      </w:r>
    </w:p>
    <w:p w14:paraId="2BD3D4B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本合同约定的其他权利。</w:t>
      </w:r>
    </w:p>
    <w:p w14:paraId="7893EA1C">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r>
        <w:rPr>
          <w:rFonts w:eastAsia="楷体_GB2312"/>
          <w:b/>
          <w:sz w:val="24"/>
        </w:rPr>
        <w:t>受</w:t>
      </w:r>
      <w:bookmarkStart w:id="205" w:name="_Toc92612917"/>
      <w:r>
        <w:rPr>
          <w:rFonts w:eastAsia="楷体_GB2312"/>
          <w:b/>
          <w:sz w:val="24"/>
        </w:rPr>
        <w:t>托人的义务</w:t>
      </w:r>
      <w:bookmarkEnd w:id="203"/>
      <w:bookmarkEnd w:id="204"/>
    </w:p>
    <w:bookmarkEnd w:id="205"/>
    <w:p w14:paraId="5D89238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在“信托财产交付日”，“受托人”将按照本合同第</w:t>
      </w:r>
      <w:r>
        <w:rPr>
          <w:rFonts w:eastAsia="楷体_GB2312"/>
          <w:sz w:val="24"/>
        </w:rPr>
        <w:fldChar w:fldCharType="begin"/>
      </w:r>
      <w:r>
        <w:rPr>
          <w:rFonts w:eastAsia="楷体_GB2312"/>
          <w:sz w:val="24"/>
        </w:rPr>
        <w:instrText xml:space="preserve"> REF _Ref111342673 \r \h  \* MERGEFORMAT </w:instrText>
      </w:r>
      <w:r>
        <w:rPr>
          <w:rFonts w:eastAsia="楷体_GB2312"/>
          <w:sz w:val="24"/>
        </w:rPr>
        <w:fldChar w:fldCharType="separate"/>
      </w:r>
      <w:r>
        <w:rPr>
          <w:rFonts w:eastAsia="楷体_GB2312"/>
          <w:sz w:val="24"/>
        </w:rPr>
        <w:t>3.11</w:t>
      </w:r>
      <w:r>
        <w:rPr>
          <w:rFonts w:eastAsia="楷体_GB2312"/>
          <w:sz w:val="24"/>
        </w:rPr>
        <w:fldChar w:fldCharType="end"/>
      </w:r>
      <w:r>
        <w:rPr>
          <w:rFonts w:eastAsia="楷体_GB2312"/>
          <w:sz w:val="24"/>
        </w:rPr>
        <w:t>款的约定将“资产支持证券募集资金净额”支付给“委托人”。</w:t>
      </w:r>
    </w:p>
    <w:p w14:paraId="712455CB">
      <w:pPr>
        <w:spacing w:before="156" w:beforeLines="50" w:after="156" w:afterLines="50" w:line="360" w:lineRule="auto"/>
        <w:ind w:left="1701"/>
        <w:rPr>
          <w:rFonts w:eastAsia="楷体_GB2312"/>
          <w:b/>
          <w:i/>
          <w:color w:val="FF0000"/>
          <w:sz w:val="24"/>
        </w:rPr>
      </w:pPr>
      <w:r>
        <w:rPr>
          <w:rFonts w:eastAsia="楷体_GB2312"/>
          <w:b/>
          <w:i/>
          <w:color w:val="FF0000"/>
          <w:sz w:val="24"/>
        </w:rPr>
        <w:t>【注：1、资产支持证券募集资金的支付方式，可根据项目实际情况进行调整。2、如资产支持证券募集资金中不存在需要扣除的费用，则可将资产支持证券募集资金净额相关表述调整为资产支持证券募集资金。】</w:t>
      </w:r>
    </w:p>
    <w:p w14:paraId="19FC3A98">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“受托人”应根据所适用的“中国”“法律”，对“信托”进行会计核算和报告。</w:t>
      </w:r>
    </w:p>
    <w:p w14:paraId="7C6097C8">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“受托人”应聘请“评级机构”对“优先级资产支持证券”进行跟踪评级。</w:t>
      </w:r>
    </w:p>
    <w:p w14:paraId="20ABC73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“受托人”应委托有资质的商业银行担任“信托财产”“资金保管机构”，并依照本合同分别委托其他有业务资格的机构履行“信贷资产”管理、登记托管等其他受托职责。</w:t>
      </w:r>
    </w:p>
    <w:p w14:paraId="7905A69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除本合同另有约定外，“受托人”应亲自处理信托事务，非按本合同约定或经“资产支持证券持有人大会”的同意，不得变更本合同项下所确定的“贷款服务机构”、“资金保管机构”。</w:t>
      </w:r>
    </w:p>
    <w:p w14:paraId="68D528D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“受托人”从事信托活动，应遵守“中国”“法律”和本合同的约定，不得损害国家利益、社会公众利益和他人的合法权益。</w:t>
      </w:r>
    </w:p>
    <w:p w14:paraId="548C208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“受托人”管理、处分“信托财产”所产生的债权，不得与“受托人”固有财产产生的债务相抵销；“受托人”管理、处分不同信托的信托财产所产生的债权债务，不得相互抵销。</w:t>
      </w:r>
    </w:p>
    <w:p w14:paraId="1EC9FC1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“受托人”在管理、处分“信托财产”时，不得违反信托目的或者违背管理职责。因“受托人”</w:t>
      </w:r>
      <w:bookmarkStart w:id="206" w:name="_DV_C366"/>
      <w:r>
        <w:rPr>
          <w:rFonts w:eastAsia="楷体_GB2312"/>
          <w:sz w:val="24"/>
        </w:rPr>
        <w:t>违背管理职责或处理信托事务不当（仅在欺诈、重大过失、故意或“受托人”违反“交易文件”情形下）导致“信托财产”损失的，“受托人”以其固有财产承担赔偿责任；因“受托人”违背管理职责或处理信托事务不当而</w:t>
      </w:r>
      <w:bookmarkEnd w:id="206"/>
      <w:r>
        <w:rPr>
          <w:rFonts w:eastAsia="楷体_GB2312"/>
          <w:sz w:val="24"/>
        </w:rPr>
        <w:t>对第三人所负债务应以固有财产承担，如使其固有财产受到损失的，则“受托人”自行承担。</w:t>
      </w:r>
    </w:p>
    <w:p w14:paraId="45D8FF02">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“受托人”应遵守本合同的约定，本着忠实于“受益人”最大利益的原则处理信托事务；“受托人”管理“信托财产”，必须恪尽职守，履行诚实、信用、谨慎管理的义务。</w:t>
      </w:r>
    </w:p>
    <w:p w14:paraId="30BBC4D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“受托人”不得将“信托财产”转为其固有财产；“受托人”将“信托财产”转为其固有财产的，必须恢复该“信托财产”的原状；造成“信托财产”损失的，应承担赔偿责任。</w:t>
      </w:r>
    </w:p>
    <w:p w14:paraId="2E7B797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“受托人”除依照本合同的约定取得信托报酬外，不得利用“信托财产”为自己谋取利益，“受托人”利用“信托财产”为自己谋取利益的，所得利益归入“信托财产”。</w:t>
      </w:r>
    </w:p>
    <w:p w14:paraId="51F0CD9C">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除非发生“违约事件”或在“信托”终止后取得“资产支持证券持有人大会”的批准并通知“评级机构”，“受托人”不得出售、转让全部或部分“信托财产”（根据本合同第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条和第</w:t>
      </w:r>
      <w:r>
        <w:rPr>
          <w:rFonts w:eastAsia="楷体_GB2312"/>
          <w:sz w:val="24"/>
        </w:rPr>
        <w:fldChar w:fldCharType="begin"/>
      </w:r>
      <w:r>
        <w:rPr>
          <w:rFonts w:eastAsia="楷体_GB2312"/>
          <w:sz w:val="24"/>
        </w:rPr>
        <w:instrText xml:space="preserve"> REF _Ref63070203 \r \h  \* MERGEFORMAT </w:instrText>
      </w:r>
      <w:r>
        <w:rPr>
          <w:rFonts w:eastAsia="楷体_GB2312"/>
          <w:sz w:val="24"/>
        </w:rPr>
        <w:fldChar w:fldCharType="separate"/>
      </w:r>
      <w:r>
        <w:rPr>
          <w:rFonts w:eastAsia="楷体_GB2312"/>
          <w:sz w:val="24"/>
        </w:rPr>
        <w:t>14</w:t>
      </w:r>
      <w:r>
        <w:rPr>
          <w:rFonts w:eastAsia="楷体_GB2312"/>
          <w:sz w:val="24"/>
        </w:rPr>
        <w:fldChar w:fldCharType="end"/>
      </w:r>
      <w:r>
        <w:rPr>
          <w:rFonts w:eastAsia="楷体_GB2312"/>
          <w:sz w:val="24"/>
        </w:rPr>
        <w:t>条要求“委托人”赎回“不合格信贷资产”或接受“委托人”“清仓回购”除外）。根据交易文件的约定出售、转让全部或部分“信托财产”（根据本合同第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条和第</w:t>
      </w:r>
      <w:r>
        <w:rPr>
          <w:rFonts w:eastAsia="楷体_GB2312"/>
          <w:sz w:val="24"/>
        </w:rPr>
        <w:fldChar w:fldCharType="begin"/>
      </w:r>
      <w:r>
        <w:rPr>
          <w:rFonts w:eastAsia="楷体_GB2312"/>
          <w:sz w:val="24"/>
        </w:rPr>
        <w:instrText xml:space="preserve"> REF _Ref63070203 \r \h  \* MERGEFORMAT </w:instrText>
      </w:r>
      <w:r>
        <w:rPr>
          <w:rFonts w:eastAsia="楷体_GB2312"/>
          <w:sz w:val="24"/>
        </w:rPr>
        <w:fldChar w:fldCharType="separate"/>
      </w:r>
      <w:r>
        <w:rPr>
          <w:rFonts w:eastAsia="楷体_GB2312"/>
          <w:sz w:val="24"/>
        </w:rPr>
        <w:t>14</w:t>
      </w:r>
      <w:r>
        <w:rPr>
          <w:rFonts w:eastAsia="楷体_GB2312"/>
          <w:sz w:val="24"/>
        </w:rPr>
        <w:fldChar w:fldCharType="end"/>
      </w:r>
      <w:r>
        <w:rPr>
          <w:rFonts w:eastAsia="楷体_GB2312"/>
          <w:sz w:val="24"/>
        </w:rPr>
        <w:t>条要求“委托人”赎回“不合格信贷资产”或接受“委托人”“清仓回购”除外）的，应及时通知“评级机构”。</w:t>
      </w:r>
    </w:p>
    <w:p w14:paraId="1E0CB6A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除非经“资产支持证券持有人大会”同意并且以公平的市场价格进行交易，“受托人”不得将其固有财产与本合同项下“信托财产”进行交易或者将不同信托的信托财产与本合同项下的“信托财产”相互交易。</w:t>
      </w:r>
    </w:p>
    <w:p w14:paraId="68C834D4">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“受托人”不得以“信托账户”、“信托财产”和/或相关“账户记录”提供任何形式的担保。</w:t>
      </w:r>
    </w:p>
    <w:p w14:paraId="639F9523">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“受托人”应将“信托财产”与其固有财产分开管理，并将不同信托的财产分别记账。</w:t>
      </w:r>
    </w:p>
    <w:p w14:paraId="7C293DAC">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“受托人”应妥善保存处理信托事务的完整记录，保存期限自本“信托”终止之日起不得少于【】年。</w:t>
      </w:r>
    </w:p>
    <w:p w14:paraId="552FE72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“受托人”应按照相关“中国”“法律”的规定和本合同的约定持续披露有关“信托财产”和“资产支持证券”的信息；在“委托人”</w:t>
      </w:r>
      <w:r>
        <w:rPr>
          <w:rFonts w:hint="eastAsia" w:eastAsia="楷体_GB2312"/>
          <w:sz w:val="24"/>
        </w:rPr>
        <w:t>依据</w:t>
      </w:r>
      <w:r>
        <w:rPr>
          <w:rFonts w:eastAsia="楷体_GB2312"/>
          <w:sz w:val="24"/>
        </w:rPr>
        <w:t>本合同的约定向其了解“信托财产”的相关情况时，“受托人”应积极配合并做出相应的说明。</w:t>
      </w:r>
    </w:p>
    <w:p w14:paraId="29C3536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“受托人”有义务根据本合同的约定委托“贷款服务机构”、“资金保管机构”、“评级机构”、“审计师”、“法律顾问”等机构代为处理相关的信托事务。</w:t>
      </w:r>
    </w:p>
    <w:p w14:paraId="4564666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“受托人”应监督和督促其委托或聘请的“贷款服务机构”、“资金保管机构”及其他中介服务机构恪尽职守地履行其各自的职责和义务。</w:t>
      </w:r>
    </w:p>
    <w:p w14:paraId="37B91CD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在“信托期限”内，如“受托人”职责终止，“受托人”应妥善保管与“信托”相关的全部资料，并及时向新的“受托人”办理移交手续。</w:t>
      </w:r>
    </w:p>
    <w:p w14:paraId="5393358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“受托人”应根据所适用的“中国”“法律”的规定和本合同的约定对“信托利益”进行分配。</w:t>
      </w:r>
    </w:p>
    <w:p w14:paraId="517926FA">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“受托人”应履行所适用的“中国”“法律”和本合同约定的其他与本信托相关的义务。</w:t>
      </w:r>
    </w:p>
    <w:p w14:paraId="2FD921BC">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207" w:name="_Toc111281782"/>
      <w:bookmarkStart w:id="208" w:name="_Toc110153432"/>
      <w:r>
        <w:rPr>
          <w:rFonts w:eastAsia="楷体_GB2312"/>
          <w:b/>
          <w:sz w:val="24"/>
        </w:rPr>
        <w:t>受</w:t>
      </w:r>
      <w:bookmarkStart w:id="209" w:name="_Toc92612918"/>
      <w:r>
        <w:rPr>
          <w:rFonts w:eastAsia="楷体_GB2312"/>
          <w:b/>
          <w:sz w:val="24"/>
        </w:rPr>
        <w:t>托人的陈述和</w:t>
      </w:r>
      <w:bookmarkEnd w:id="209"/>
      <w:r>
        <w:rPr>
          <w:rFonts w:eastAsia="楷体_GB2312"/>
          <w:b/>
          <w:sz w:val="24"/>
        </w:rPr>
        <w:t>保证</w:t>
      </w:r>
      <w:bookmarkEnd w:id="207"/>
      <w:bookmarkEnd w:id="208"/>
    </w:p>
    <w:p w14:paraId="37EFE5C4">
      <w:pPr>
        <w:spacing w:before="156" w:beforeLines="50" w:after="156" w:afterLines="50" w:line="360" w:lineRule="auto"/>
        <w:ind w:left="882"/>
        <w:rPr>
          <w:rFonts w:eastAsia="楷体_GB2312"/>
          <w:sz w:val="24"/>
        </w:rPr>
      </w:pPr>
      <w:r>
        <w:rPr>
          <w:rFonts w:eastAsia="楷体_GB2312"/>
          <w:sz w:val="24"/>
        </w:rPr>
        <w:t>在本合同签署之日以及“信托财产交付日”，“受托人”为本合同各方的利益陈述和保证如下：</w:t>
      </w:r>
    </w:p>
    <w:p w14:paraId="094E5A16">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0" w:name="_DV_M449"/>
      <w:bookmarkEnd w:id="210"/>
      <w:r>
        <w:rPr>
          <w:rFonts w:eastAsia="楷体_GB2312"/>
          <w:kern w:val="0"/>
          <w:sz w:val="24"/>
        </w:rPr>
        <w:t>“受托人”按照“中国</w:t>
      </w:r>
      <w:r>
        <w:rPr>
          <w:rFonts w:eastAsia="楷体_GB2312"/>
          <w:sz w:val="24"/>
        </w:rPr>
        <w:t>”“</w:t>
      </w:r>
      <w:r>
        <w:rPr>
          <w:rFonts w:eastAsia="楷体_GB2312"/>
          <w:kern w:val="0"/>
          <w:sz w:val="24"/>
        </w:rPr>
        <w:t>法律”正式注册成立并有效存续，具有全部的权利和授权，以继续进行其正在进行之业务以及享有本合同和其作为一方的其他“交易文件”项下的权利，并履行本合同和其作为一方的其他“交易文件”项下的义务。</w:t>
      </w:r>
    </w:p>
    <w:p w14:paraId="1DE2B537">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211" w:name="_DV_M450"/>
      <w:bookmarkEnd w:id="211"/>
      <w:r>
        <w:rPr>
          <w:rFonts w:eastAsia="楷体_GB2312"/>
          <w:kern w:val="0"/>
          <w:sz w:val="24"/>
        </w:rPr>
        <w:t>“受</w:t>
      </w:r>
      <w:r>
        <w:rPr>
          <w:rFonts w:eastAsia="楷体_GB2312"/>
          <w:sz w:val="24"/>
        </w:rPr>
        <w:t>托人”已履行一切必要的内部程序获取授权以签署并履行本合同以及其作为一方的其他“交易文件”，本合同以及其作为一方的其他</w:t>
      </w:r>
      <w:r>
        <w:rPr>
          <w:rFonts w:eastAsia="楷体_GB2312"/>
          <w:kern w:val="0"/>
          <w:sz w:val="24"/>
        </w:rPr>
        <w:t>“交易文件”</w:t>
      </w:r>
      <w:r>
        <w:rPr>
          <w:rFonts w:eastAsia="楷体_GB2312"/>
          <w:sz w:val="24"/>
        </w:rPr>
        <w:t>构成“受托人”合法的、有效的和有约束力的义务，并可按照前述协议的条款对其主张权利。</w:t>
      </w:r>
    </w:p>
    <w:p w14:paraId="1D4ED3CD">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2" w:name="_DV_M451"/>
      <w:bookmarkEnd w:id="212"/>
      <w:r>
        <w:rPr>
          <w:rFonts w:eastAsia="楷体_GB2312"/>
          <w:sz w:val="24"/>
        </w:rPr>
        <w:t>“受托人”已为签署和交付本合同以及其作为一方的其他“交易文件”并</w:t>
      </w:r>
      <w:r>
        <w:rPr>
          <w:rFonts w:eastAsia="楷体_GB2312"/>
          <w:kern w:val="0"/>
          <w:sz w:val="24"/>
        </w:rPr>
        <w:t>履行本合同和该等“交易文件”项下的义务取得了全部必要的同意、许可或批准，并已办理了全部必要的备案、登记和通知手续。</w:t>
      </w:r>
    </w:p>
    <w:p w14:paraId="74202A9F">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3" w:name="_DV_M452"/>
      <w:bookmarkEnd w:id="213"/>
      <w:r>
        <w:rPr>
          <w:rFonts w:eastAsia="楷体_GB2312"/>
          <w:kern w:val="0"/>
          <w:sz w:val="24"/>
        </w:rPr>
        <w:t>就“受托人”所知，本合同签署之日，“受托人”签署、交付和履行本合同以及其作为一方的其他“交易文件”，第一，不违反或抵触适用于“受托人”的任何“中国”“法律”的规定或其他政府机构的指令，而无论该等政府机构的指令是否具有法律强制力；第二，不违反“受托人”的组建文件；第三，不违反或导致“受托人”违反其作为一方或对其或其财产有约束力的任何协议或契据的约定；第四，不会构成违约或因通知、时间的流逝即会在任何该等协议或契据项下构成违约的事件。</w:t>
      </w:r>
    </w:p>
    <w:p w14:paraId="11101D16">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4" w:name="_DV_M453"/>
      <w:bookmarkEnd w:id="214"/>
      <w:r>
        <w:rPr>
          <w:rFonts w:eastAsia="楷体_GB2312"/>
          <w:kern w:val="0"/>
          <w:sz w:val="24"/>
        </w:rPr>
        <w:t>就“受托人”所知，本合同签署之日，没有任何未决的或拟将进行的</w:t>
      </w:r>
      <w:r>
        <w:rPr>
          <w:rFonts w:eastAsia="楷体_GB2312"/>
          <w:sz w:val="24"/>
        </w:rPr>
        <w:t>诉讼</w:t>
      </w:r>
      <w:r>
        <w:rPr>
          <w:rFonts w:eastAsia="楷体_GB2312"/>
          <w:kern w:val="0"/>
          <w:sz w:val="24"/>
        </w:rPr>
        <w:t>、仲裁及任何政府机构的行为、程序或调查，质疑本合同、“受托人”作为一方的其他“交易文件”或根据本合同或其他任何“交易文件”已采取或将要采取的行动的有效性，或很可能导致“受托人”的业务、经营、事务、财务和其他状况、财产或资产发生任何“重大不利变化”。</w:t>
      </w:r>
    </w:p>
    <w:p w14:paraId="32388A44">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5" w:name="_DV_M454"/>
      <w:bookmarkEnd w:id="215"/>
      <w:r>
        <w:rPr>
          <w:rFonts w:eastAsia="楷体_GB2312"/>
          <w:kern w:val="0"/>
          <w:sz w:val="24"/>
        </w:rPr>
        <w:t>就“受托人”所知，本合同签署之日，未出现或持续存在任何事件，也不存在任何状况，且完成本合同以及“受托人”作为一方的其他“交易文件”项下的交易也不会导致任何事件或状况，构成违反或被合理</w:t>
      </w:r>
      <w:r>
        <w:rPr>
          <w:rFonts w:eastAsia="楷体_GB2312"/>
          <w:sz w:val="24"/>
        </w:rPr>
        <w:t>预期</w:t>
      </w:r>
      <w:r>
        <w:rPr>
          <w:rFonts w:eastAsia="楷体_GB2312"/>
          <w:kern w:val="0"/>
          <w:sz w:val="24"/>
        </w:rPr>
        <w:t>构成或导致违反“受托人”作为一方或对其或其财产有约束力的任何协议或契据的任何条款，或构成“受托人辞任事件”、“受托人解任事件”。</w:t>
      </w:r>
    </w:p>
    <w:p w14:paraId="3E1D322A">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bookmarkStart w:id="216" w:name="_DV_M455"/>
      <w:bookmarkEnd w:id="216"/>
      <w:r>
        <w:rPr>
          <w:rFonts w:eastAsia="楷体_GB2312"/>
          <w:kern w:val="0"/>
          <w:sz w:val="24"/>
        </w:rPr>
        <w:t>“受托人”未曾采取任何行动，导致在“信托财产”和相关“账户记录”上设定</w:t>
      </w:r>
      <w:r>
        <w:rPr>
          <w:rFonts w:eastAsia="楷体_GB2312"/>
          <w:sz w:val="24"/>
        </w:rPr>
        <w:t>任何</w:t>
      </w:r>
      <w:r>
        <w:rPr>
          <w:rFonts w:eastAsia="楷体_GB2312"/>
          <w:kern w:val="0"/>
          <w:sz w:val="24"/>
        </w:rPr>
        <w:t>“担保”。</w:t>
      </w:r>
    </w:p>
    <w:p w14:paraId="011A3879">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“信托受益权”构成“受托人”在本合同项下有效的、合法的、有约束力的支付义务（以“信托财产”为限），并可按照本合同的条款对其主张权利。</w:t>
      </w:r>
    </w:p>
    <w:p w14:paraId="65F52ACF">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kern w:val="0"/>
          <w:sz w:val="24"/>
        </w:rPr>
        <w:t>“受托人”在“交</w:t>
      </w:r>
      <w:r>
        <w:rPr>
          <w:rFonts w:eastAsia="楷体_GB2312"/>
          <w:sz w:val="24"/>
        </w:rPr>
        <w:t>易文件”中（无论是作为“受托人”还是“发行人”）作出的陈述和保证，在所有重大方面均真实、完整和准确。</w:t>
      </w:r>
    </w:p>
    <w:p w14:paraId="09783187">
      <w:pPr>
        <w:numPr>
          <w:ilvl w:val="0"/>
          <w:numId w:val="4"/>
        </w:numPr>
        <w:spacing w:before="156" w:beforeLines="50" w:after="156" w:afterLines="50" w:line="360" w:lineRule="auto"/>
        <w:outlineLvl w:val="0"/>
        <w:rPr>
          <w:rFonts w:eastAsia="楷体_GB2312"/>
          <w:b/>
          <w:sz w:val="24"/>
        </w:rPr>
      </w:pPr>
      <w:bookmarkStart w:id="217" w:name="_Toc110153433"/>
      <w:bookmarkStart w:id="218" w:name="_Toc221382850"/>
      <w:bookmarkStart w:id="219" w:name="_Toc402883937"/>
      <w:bookmarkStart w:id="220" w:name="_Toc111281783"/>
      <w:r>
        <w:rPr>
          <w:rFonts w:eastAsia="楷体_GB2312"/>
          <w:b/>
          <w:sz w:val="24"/>
        </w:rPr>
        <w:t>受</w:t>
      </w:r>
      <w:bookmarkStart w:id="221" w:name="_Toc92612919"/>
      <w:r>
        <w:rPr>
          <w:rFonts w:eastAsia="楷体_GB2312"/>
          <w:b/>
          <w:sz w:val="24"/>
        </w:rPr>
        <w:t>益人</w:t>
      </w:r>
      <w:bookmarkEnd w:id="217"/>
      <w:bookmarkEnd w:id="218"/>
      <w:bookmarkEnd w:id="219"/>
      <w:bookmarkEnd w:id="220"/>
    </w:p>
    <w:p w14:paraId="6310BD51">
      <w:pPr>
        <w:spacing w:before="156" w:beforeLines="50" w:after="156" w:afterLines="50" w:line="360" w:lineRule="auto"/>
        <w:ind w:left="425"/>
        <w:outlineLvl w:val="1"/>
        <w:rPr>
          <w:rFonts w:eastAsia="楷体_GB2312"/>
          <w:b/>
          <w:i/>
          <w:color w:val="FF0000"/>
          <w:sz w:val="24"/>
        </w:rPr>
      </w:pPr>
      <w:r>
        <w:rPr>
          <w:rFonts w:eastAsia="楷体_GB2312"/>
          <w:b/>
          <w:i/>
          <w:color w:val="FF0000"/>
          <w:sz w:val="24"/>
        </w:rPr>
        <w:t>【注：受益人的权利、义务条款可根据项目具体情况进行补充或调整。】</w:t>
      </w:r>
    </w:p>
    <w:bookmarkEnd w:id="221"/>
    <w:p w14:paraId="143BABE3">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222" w:name="_Toc110153434"/>
      <w:bookmarkStart w:id="223" w:name="_Toc111281784"/>
      <w:r>
        <w:rPr>
          <w:rFonts w:eastAsia="楷体_GB2312"/>
          <w:b/>
          <w:sz w:val="24"/>
        </w:rPr>
        <w:t>受</w:t>
      </w:r>
      <w:bookmarkStart w:id="224" w:name="_Toc92612920"/>
      <w:r>
        <w:rPr>
          <w:rFonts w:eastAsia="楷体_GB2312"/>
          <w:b/>
          <w:sz w:val="24"/>
        </w:rPr>
        <w:t>益人的权利</w:t>
      </w:r>
      <w:bookmarkEnd w:id="222"/>
      <w:bookmarkEnd w:id="223"/>
    </w:p>
    <w:bookmarkEnd w:id="224"/>
    <w:p w14:paraId="503DE6AD">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sz w:val="24"/>
        </w:rPr>
        <w:t>“</w:t>
      </w:r>
      <w:r>
        <w:rPr>
          <w:rFonts w:eastAsia="楷体_GB2312"/>
          <w:kern w:val="0"/>
          <w:sz w:val="24"/>
        </w:rPr>
        <w:t>受益人</w:t>
      </w:r>
      <w:r>
        <w:rPr>
          <w:rFonts w:eastAsia="楷体_GB2312"/>
          <w:sz w:val="24"/>
        </w:rPr>
        <w:t>”</w:t>
      </w:r>
      <w:r>
        <w:rPr>
          <w:rFonts w:eastAsia="楷体_GB2312"/>
          <w:kern w:val="0"/>
          <w:sz w:val="24"/>
        </w:rPr>
        <w:t>有权按本合同约定享有与其持有“资产支持证券”类别和数额对应的“信托受益权”，并参与相关“信托利益”的分配，有权按照本合同的约定参加“资产支持证券持有人大会”，行使相应的权利。</w:t>
      </w:r>
    </w:p>
    <w:p w14:paraId="71C75210">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在“信托期限”内，“受益人”可根据本合同的约定及相关市场规则，依法转让其所持有的“资产支持证券”。</w:t>
      </w:r>
    </w:p>
    <w:p w14:paraId="06A41A24">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“受益人”有权按照本合同约定向“受托人”了解“信托财产”的管理、处分及收支情况。</w:t>
      </w:r>
    </w:p>
    <w:p w14:paraId="608B80F6">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“受益人”有权依法查阅或者复制公开披露的“信托财产”和“资产支持证券”信息资料。</w:t>
      </w:r>
    </w:p>
    <w:p w14:paraId="62DF4BCF">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在发生“受托人”或各相关服务机构（包括“贷款服务机构”及</w:t>
      </w:r>
      <w:r>
        <w:rPr>
          <w:rFonts w:eastAsia="楷体_GB2312"/>
          <w:sz w:val="24"/>
        </w:rPr>
        <w:t>“资金保管机构”）</w:t>
      </w:r>
      <w:r>
        <w:rPr>
          <w:rFonts w:eastAsia="楷体_GB2312"/>
          <w:kern w:val="0"/>
          <w:sz w:val="24"/>
        </w:rPr>
        <w:t>违反信托目的处分“信托财产”或者因违背管理职责、处理信托事务不当致使“信托财产”受到损失的情形下，“受益人”有权通过“资产支持证券持有人大会”申请人民法院撤销该处分行为，并有权要求“受托人”、各相关服务机构（包括“贷款服务机构”及“资金保管机构”）恢复“信托财产”的原状或者予以合理赔偿。“受益人”的撤销权自“受益人”知道或者应</w:t>
      </w:r>
      <w:r>
        <w:rPr>
          <w:rFonts w:hint="eastAsia" w:eastAsia="楷体_GB2312"/>
          <w:kern w:val="0"/>
          <w:sz w:val="24"/>
        </w:rPr>
        <w:t>当</w:t>
      </w:r>
      <w:r>
        <w:rPr>
          <w:rFonts w:eastAsia="楷体_GB2312"/>
          <w:kern w:val="0"/>
          <w:sz w:val="24"/>
        </w:rPr>
        <w:t>知道撤销原因之日起一年内不行使的，归于消灭。</w:t>
      </w:r>
    </w:p>
    <w:p w14:paraId="2B6C3A5D">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在发生“受托人”或各相关服务机构（包括“贷款服务机构”及</w:t>
      </w:r>
      <w:r>
        <w:rPr>
          <w:rFonts w:eastAsia="楷体_GB2312"/>
          <w:sz w:val="24"/>
        </w:rPr>
        <w:t>“资金保管机构”）</w:t>
      </w:r>
      <w:r>
        <w:rPr>
          <w:rFonts w:eastAsia="楷体_GB2312"/>
          <w:kern w:val="0"/>
          <w:sz w:val="24"/>
        </w:rPr>
        <w:t>违反信托目的处分“信托财产”或者管理、处分“信托财产”有重大过失的情形下，“受益人”有权通过“资产支持证券持有人大会”，按照本合同的约定解任“受托人”、各相关服务机构（包括“贷款服务机构”及“资金保管机构”）。</w:t>
      </w:r>
    </w:p>
    <w:p w14:paraId="7207C66B">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“受益人”有权按照本合同约定提议召开或者自行召开“资产支持证券持有人大会”。</w:t>
      </w:r>
    </w:p>
    <w:p w14:paraId="2F53DF6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kern w:val="0"/>
          <w:sz w:val="24"/>
        </w:rPr>
        <w:t>“受益人”有权享有“中国”“法律”和本合同约定的与本信托相关的其他权</w:t>
      </w:r>
      <w:r>
        <w:rPr>
          <w:rFonts w:eastAsia="楷体_GB2312"/>
          <w:sz w:val="24"/>
        </w:rPr>
        <w:t>利。</w:t>
      </w:r>
    </w:p>
    <w:p w14:paraId="3FAE0E84">
      <w:pPr>
        <w:numPr>
          <w:ilvl w:val="1"/>
          <w:numId w:val="4"/>
        </w:numPr>
        <w:tabs>
          <w:tab w:val="left" w:pos="900"/>
          <w:tab w:val="left" w:pos="992"/>
        </w:tabs>
        <w:spacing w:before="156" w:beforeLines="50" w:after="156" w:afterLines="50" w:line="360" w:lineRule="auto"/>
        <w:ind w:left="879" w:hanging="454"/>
        <w:outlineLvl w:val="1"/>
        <w:rPr>
          <w:rFonts w:eastAsia="楷体_GB2312"/>
          <w:b/>
          <w:sz w:val="24"/>
        </w:rPr>
      </w:pPr>
      <w:bookmarkStart w:id="225" w:name="_Toc110153435"/>
      <w:bookmarkStart w:id="226" w:name="_Toc111281785"/>
      <w:r>
        <w:rPr>
          <w:rFonts w:eastAsia="楷体_GB2312"/>
          <w:b/>
          <w:sz w:val="24"/>
        </w:rPr>
        <w:t>受</w:t>
      </w:r>
      <w:bookmarkStart w:id="227" w:name="_Toc92612921"/>
      <w:r>
        <w:rPr>
          <w:rFonts w:eastAsia="楷体_GB2312"/>
          <w:b/>
          <w:sz w:val="24"/>
        </w:rPr>
        <w:t>益人的义务</w:t>
      </w:r>
      <w:bookmarkEnd w:id="225"/>
      <w:bookmarkEnd w:id="226"/>
    </w:p>
    <w:bookmarkEnd w:id="227"/>
    <w:p w14:paraId="136FBC37">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sz w:val="24"/>
        </w:rPr>
        <w:t>“受益人</w:t>
      </w:r>
      <w:r>
        <w:rPr>
          <w:rFonts w:eastAsia="楷体_GB2312"/>
          <w:kern w:val="0"/>
          <w:sz w:val="24"/>
        </w:rPr>
        <w:t>”应按照本合同的约定合理善意行使“受益人”的权利，不得损害</w:t>
      </w:r>
      <w:r>
        <w:rPr>
          <w:rFonts w:eastAsia="楷体_GB2312"/>
          <w:sz w:val="24"/>
        </w:rPr>
        <w:t>他方</w:t>
      </w:r>
      <w:r>
        <w:rPr>
          <w:rFonts w:eastAsia="楷体_GB2312"/>
          <w:kern w:val="0"/>
          <w:sz w:val="24"/>
        </w:rPr>
        <w:t>或其他类别“受益人”的合法权利和利益。</w:t>
      </w:r>
    </w:p>
    <w:p w14:paraId="409450CA">
      <w:pPr>
        <w:numPr>
          <w:ilvl w:val="2"/>
          <w:numId w:val="4"/>
        </w:numPr>
        <w:tabs>
          <w:tab w:val="left" w:pos="900"/>
          <w:tab w:val="left" w:pos="1843"/>
        </w:tabs>
        <w:spacing w:before="156" w:beforeLines="50" w:after="156" w:afterLines="50" w:line="360" w:lineRule="auto"/>
        <w:ind w:left="1701" w:hanging="777"/>
        <w:rPr>
          <w:rFonts w:eastAsia="楷体_GB2312"/>
          <w:kern w:val="0"/>
          <w:sz w:val="24"/>
        </w:rPr>
      </w:pPr>
      <w:r>
        <w:rPr>
          <w:rFonts w:eastAsia="楷体_GB2312"/>
          <w:kern w:val="0"/>
          <w:sz w:val="24"/>
        </w:rPr>
        <w:t>“受益人”对依本合同约定获得的有关本“信托”的所有非公开的信息负有保密</w:t>
      </w:r>
      <w:r>
        <w:rPr>
          <w:rFonts w:eastAsia="楷体_GB2312"/>
          <w:sz w:val="24"/>
        </w:rPr>
        <w:t>义务</w:t>
      </w:r>
      <w:r>
        <w:rPr>
          <w:rFonts w:eastAsia="楷体_GB2312"/>
          <w:kern w:val="0"/>
          <w:sz w:val="24"/>
        </w:rPr>
        <w:t>。</w:t>
      </w:r>
    </w:p>
    <w:p w14:paraId="14EC21D0">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kern w:val="0"/>
          <w:sz w:val="24"/>
        </w:rPr>
        <w:t>“受益人”负有所适用的“中国”“法律”规定的和本合同约定的其他与本信托</w:t>
      </w:r>
      <w:r>
        <w:rPr>
          <w:rFonts w:eastAsia="楷体_GB2312"/>
          <w:sz w:val="24"/>
        </w:rPr>
        <w:t>相关</w:t>
      </w:r>
      <w:r>
        <w:rPr>
          <w:rFonts w:eastAsia="楷体_GB2312"/>
          <w:kern w:val="0"/>
          <w:sz w:val="24"/>
        </w:rPr>
        <w:t>的义务</w:t>
      </w:r>
      <w:r>
        <w:rPr>
          <w:rFonts w:eastAsia="楷体_GB2312"/>
          <w:sz w:val="24"/>
        </w:rPr>
        <w:t>。</w:t>
      </w:r>
    </w:p>
    <w:p w14:paraId="41D9E687">
      <w:pPr>
        <w:numPr>
          <w:ilvl w:val="1"/>
          <w:numId w:val="4"/>
        </w:numPr>
        <w:tabs>
          <w:tab w:val="left" w:pos="900"/>
          <w:tab w:val="left" w:pos="992"/>
        </w:tabs>
        <w:spacing w:before="156" w:beforeLines="50" w:after="156" w:afterLines="50" w:line="360" w:lineRule="auto"/>
        <w:ind w:left="879" w:hanging="454"/>
        <w:outlineLvl w:val="1"/>
        <w:rPr>
          <w:rFonts w:eastAsia="楷体_GB2312"/>
          <w:sz w:val="24"/>
        </w:rPr>
      </w:pPr>
      <w:r>
        <w:rPr>
          <w:rFonts w:eastAsia="楷体_GB2312"/>
          <w:b/>
          <w:sz w:val="24"/>
        </w:rPr>
        <w:t>受益人取得信托利益的形式和方法</w:t>
      </w:r>
    </w:p>
    <w:p w14:paraId="5F6DAB33">
      <w:pPr>
        <w:tabs>
          <w:tab w:val="left" w:pos="2160"/>
        </w:tabs>
        <w:spacing w:before="156" w:beforeLines="50" w:after="156" w:afterLines="50" w:line="360" w:lineRule="auto"/>
        <w:ind w:left="851"/>
        <w:rPr>
          <w:rFonts w:eastAsia="楷体_GB2312"/>
          <w:sz w:val="24"/>
        </w:rPr>
      </w:pPr>
      <w:r>
        <w:rPr>
          <w:rFonts w:eastAsia="楷体_GB2312"/>
          <w:sz w:val="24"/>
        </w:rPr>
        <w:t>在每个“支付日”，根据资产支持证券持有人名单确定的享有当期收益的“资产支持证券持有人”，为当期有权获得“信托利益”分配的“受益人”，该等“受益人”有权于该“支付日”根据本合同约定的方法和顺序获得其持有的“资产支持证券”当期可获得分配的“信托利益”。</w:t>
      </w:r>
    </w:p>
    <w:p w14:paraId="0D4D9B6C">
      <w:pPr>
        <w:numPr>
          <w:ilvl w:val="0"/>
          <w:numId w:val="4"/>
        </w:numPr>
        <w:spacing w:before="156" w:beforeLines="50" w:after="156" w:afterLines="50" w:line="360" w:lineRule="auto"/>
        <w:outlineLvl w:val="0"/>
        <w:rPr>
          <w:rFonts w:eastAsia="楷体_GB2312"/>
          <w:b/>
          <w:sz w:val="24"/>
        </w:rPr>
      </w:pPr>
      <w:bookmarkStart w:id="228" w:name="_Toc110153436"/>
      <w:bookmarkStart w:id="229" w:name="_Toc111281786"/>
      <w:bookmarkStart w:id="230" w:name="_Toc221382851"/>
      <w:bookmarkStart w:id="231" w:name="_Toc402883938"/>
      <w:r>
        <w:rPr>
          <w:rFonts w:eastAsia="楷体_GB2312"/>
          <w:b/>
          <w:sz w:val="24"/>
        </w:rPr>
        <w:t>信</w:t>
      </w:r>
      <w:bookmarkStart w:id="232" w:name="_Toc92612923"/>
      <w:r>
        <w:rPr>
          <w:rFonts w:eastAsia="楷体_GB2312"/>
          <w:b/>
          <w:sz w:val="24"/>
        </w:rPr>
        <w:t>托受益权</w:t>
      </w:r>
      <w:bookmarkEnd w:id="228"/>
      <w:bookmarkEnd w:id="229"/>
      <w:r>
        <w:rPr>
          <w:rFonts w:eastAsia="楷体_GB2312"/>
          <w:b/>
          <w:sz w:val="24"/>
        </w:rPr>
        <w:t>和资产支持证券</w:t>
      </w:r>
      <w:bookmarkEnd w:id="230"/>
      <w:bookmarkEnd w:id="231"/>
    </w:p>
    <w:bookmarkEnd w:id="232"/>
    <w:p w14:paraId="7550342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33" w:name="_Toc111281787"/>
      <w:r>
        <w:rPr>
          <w:rFonts w:eastAsia="楷体_GB2312"/>
          <w:b/>
          <w:sz w:val="24"/>
        </w:rPr>
        <w:t>信托受益权的类别</w:t>
      </w:r>
      <w:bookmarkEnd w:id="233"/>
    </w:p>
    <w:p w14:paraId="20EEC086">
      <w:pPr>
        <w:tabs>
          <w:tab w:val="left" w:pos="2160"/>
        </w:tabs>
        <w:spacing w:before="156" w:beforeLines="50" w:after="156" w:afterLines="50" w:line="360" w:lineRule="auto"/>
        <w:ind w:left="851"/>
        <w:rPr>
          <w:rFonts w:eastAsia="楷体_GB2312"/>
          <w:w w:val="0"/>
          <w:sz w:val="24"/>
        </w:rPr>
      </w:pPr>
      <w:bookmarkStart w:id="234" w:name="_DV_C377"/>
      <w:r>
        <w:rPr>
          <w:rStyle w:val="41"/>
          <w:rFonts w:eastAsia="楷体_GB2312"/>
          <w:color w:val="auto"/>
          <w:w w:val="0"/>
          <w:sz w:val="24"/>
          <w:u w:val="none"/>
        </w:rPr>
        <w:t>本合同项下“信托受益权”分为“优先级信托受益权”和“次级信托受益权”。</w:t>
      </w:r>
      <w:bookmarkEnd w:id="234"/>
    </w:p>
    <w:p w14:paraId="025C993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35" w:name="_Toc111281788"/>
      <w:r>
        <w:rPr>
          <w:rFonts w:eastAsia="楷体_GB2312"/>
          <w:b/>
          <w:sz w:val="24"/>
        </w:rPr>
        <w:t>资产支持证券的类别</w:t>
      </w:r>
      <w:bookmarkEnd w:id="235"/>
    </w:p>
    <w:p w14:paraId="356F9AB8">
      <w:pPr>
        <w:numPr>
          <w:ilvl w:val="2"/>
          <w:numId w:val="4"/>
        </w:numPr>
        <w:tabs>
          <w:tab w:val="left" w:pos="900"/>
          <w:tab w:val="left" w:pos="1843"/>
        </w:tabs>
        <w:spacing w:before="156" w:beforeLines="50" w:after="156" w:afterLines="50" w:line="360" w:lineRule="auto"/>
        <w:ind w:left="1701" w:hanging="777"/>
        <w:rPr>
          <w:rStyle w:val="41"/>
          <w:rFonts w:eastAsia="楷体_GB2312"/>
          <w:color w:val="auto"/>
          <w:sz w:val="24"/>
          <w:u w:val="none"/>
        </w:rPr>
      </w:pPr>
      <w:bookmarkStart w:id="236" w:name="_DV_C379"/>
      <w:bookmarkStart w:id="237" w:name="_Hlk507251388"/>
      <w:r>
        <w:rPr>
          <w:rStyle w:val="41"/>
          <w:rFonts w:eastAsia="楷体_GB2312"/>
          <w:color w:val="auto"/>
          <w:w w:val="0"/>
          <w:sz w:val="24"/>
          <w:u w:val="none"/>
        </w:rPr>
        <w:t>“资产支持证券”分为“优先A级资产支持证券”、“优先B级资产</w:t>
      </w:r>
      <w:r>
        <w:rPr>
          <w:rFonts w:eastAsia="楷体_GB2312"/>
          <w:kern w:val="0"/>
          <w:sz w:val="24"/>
        </w:rPr>
        <w:t>支持</w:t>
      </w:r>
      <w:r>
        <w:rPr>
          <w:rFonts w:eastAsia="楷体_GB2312"/>
          <w:sz w:val="24"/>
        </w:rPr>
        <w:t>证券</w:t>
      </w:r>
      <w:r>
        <w:rPr>
          <w:rStyle w:val="41"/>
          <w:rFonts w:eastAsia="楷体_GB2312"/>
          <w:color w:val="auto"/>
          <w:w w:val="0"/>
          <w:sz w:val="24"/>
          <w:u w:val="none"/>
        </w:rPr>
        <w:t>”和“次级资产支持证券”</w:t>
      </w:r>
      <w:bookmarkEnd w:id="236"/>
      <w:r>
        <w:rPr>
          <w:rFonts w:eastAsia="楷体_GB2312"/>
          <w:sz w:val="24"/>
        </w:rPr>
        <w:t>。</w:t>
      </w:r>
    </w:p>
    <w:p w14:paraId="158F4B5B">
      <w:pPr>
        <w:spacing w:before="156" w:beforeLines="50" w:after="156" w:afterLines="50" w:line="360" w:lineRule="auto"/>
        <w:ind w:left="1701"/>
        <w:rPr>
          <w:rFonts w:eastAsia="楷体_GB2312"/>
          <w:i/>
          <w:color w:val="FF0000"/>
          <w:sz w:val="24"/>
        </w:rPr>
      </w:pPr>
      <w:r>
        <w:rPr>
          <w:rFonts w:eastAsia="楷体_GB2312"/>
          <w:b/>
          <w:bCs/>
          <w:i/>
          <w:color w:val="FF0000"/>
          <w:sz w:val="24"/>
        </w:rPr>
        <w:t>【注：</w:t>
      </w:r>
      <w:r>
        <w:rPr>
          <w:rFonts w:hint="eastAsia" w:eastAsia="楷体_GB2312"/>
          <w:b/>
          <w:bCs/>
          <w:i/>
          <w:color w:val="FF0000"/>
          <w:sz w:val="24"/>
        </w:rPr>
        <w:t>（1）</w:t>
      </w:r>
      <w:r>
        <w:rPr>
          <w:rFonts w:eastAsia="楷体_GB2312"/>
          <w:b/>
          <w:i/>
          <w:iCs/>
          <w:color w:val="FF0000"/>
          <w:sz w:val="24"/>
        </w:rPr>
        <w:t>资产支持证券的类别、各级别基本特征条款可根据具体项目的需要进一步细分或调整。</w:t>
      </w:r>
      <w:r>
        <w:rPr>
          <w:rFonts w:hint="eastAsia" w:eastAsia="楷体_GB2312"/>
          <w:b/>
          <w:i/>
          <w:iCs/>
          <w:color w:val="FF0000"/>
          <w:sz w:val="24"/>
        </w:rPr>
        <w:t>（2）应明确披露资产支持证券为固定摊还证券或过手型证券，如某档资产支持证券是过手型证券，请同时提示投资者注意提前偿付风险。</w:t>
      </w:r>
      <w:r>
        <w:rPr>
          <w:rFonts w:eastAsia="楷体_GB2312"/>
          <w:b/>
          <w:bCs/>
          <w:i/>
          <w:color w:val="FF0000"/>
          <w:sz w:val="24"/>
        </w:rPr>
        <w:t>】</w:t>
      </w:r>
    </w:p>
    <w:p w14:paraId="354AA99E">
      <w:pPr>
        <w:numPr>
          <w:ilvl w:val="2"/>
          <w:numId w:val="4"/>
        </w:numPr>
        <w:tabs>
          <w:tab w:val="left" w:pos="900"/>
          <w:tab w:val="left" w:pos="1843"/>
        </w:tabs>
        <w:spacing w:before="156" w:beforeLines="50" w:after="156" w:afterLines="50" w:line="360" w:lineRule="auto"/>
        <w:ind w:left="1701" w:hanging="777"/>
        <w:rPr>
          <w:rStyle w:val="41"/>
          <w:rFonts w:eastAsia="楷体_GB2312"/>
          <w:color w:val="auto"/>
          <w:w w:val="0"/>
          <w:sz w:val="24"/>
          <w:u w:val="none"/>
        </w:rPr>
      </w:pPr>
      <w:r>
        <w:rPr>
          <w:rStyle w:val="41"/>
          <w:rFonts w:eastAsia="楷体_GB2312"/>
          <w:color w:val="auto"/>
          <w:w w:val="0"/>
          <w:sz w:val="24"/>
          <w:u w:val="none"/>
        </w:rPr>
        <w:t>在“资产支持证券”发行之日，全部“资产支持证券”的发行总量（面值）为【】元。各档“资产支持证券”的总面值、本息支付及其他基本</w:t>
      </w:r>
      <w:r>
        <w:rPr>
          <w:rFonts w:eastAsia="楷体_GB2312"/>
          <w:kern w:val="0"/>
          <w:sz w:val="24"/>
        </w:rPr>
        <w:t>特征</w:t>
      </w:r>
      <w:r>
        <w:rPr>
          <w:rStyle w:val="41"/>
          <w:rFonts w:eastAsia="楷体_GB2312"/>
          <w:color w:val="auto"/>
          <w:w w:val="0"/>
          <w:sz w:val="24"/>
          <w:u w:val="none"/>
        </w:rPr>
        <w:t>详见本合同</w:t>
      </w:r>
      <w:r>
        <w:rPr>
          <w:rFonts w:eastAsia="楷体_GB2312"/>
          <w:color w:val="000000"/>
          <w:sz w:val="24"/>
        </w:rPr>
        <w:t>第</w:t>
      </w:r>
      <w:r>
        <w:rPr>
          <w:rFonts w:eastAsia="楷体_GB2312"/>
          <w:color w:val="000000"/>
          <w:sz w:val="24"/>
        </w:rPr>
        <w:fldChar w:fldCharType="begin"/>
      </w:r>
      <w:r>
        <w:rPr>
          <w:rFonts w:eastAsia="楷体_GB2312"/>
          <w:color w:val="000000"/>
          <w:sz w:val="24"/>
        </w:rPr>
        <w:instrText xml:space="preserve"> REF _Ref221379070 \r \h  \* MERGEFORMAT </w:instrText>
      </w:r>
      <w:r>
        <w:rPr>
          <w:rFonts w:eastAsia="楷体_GB2312"/>
          <w:color w:val="000000"/>
          <w:sz w:val="24"/>
        </w:rPr>
        <w:fldChar w:fldCharType="separate"/>
      </w:r>
      <w:r>
        <w:rPr>
          <w:rFonts w:eastAsia="楷体_GB2312"/>
          <w:color w:val="000000"/>
          <w:sz w:val="24"/>
        </w:rPr>
        <w:t>7.3</w:t>
      </w:r>
      <w:r>
        <w:rPr>
          <w:rFonts w:eastAsia="楷体_GB2312"/>
          <w:color w:val="000000"/>
          <w:sz w:val="24"/>
        </w:rPr>
        <w:fldChar w:fldCharType="end"/>
      </w:r>
      <w:r>
        <w:rPr>
          <w:rFonts w:eastAsia="楷体_GB2312"/>
          <w:color w:val="000000"/>
          <w:sz w:val="24"/>
        </w:rPr>
        <w:t>款至</w:t>
      </w:r>
      <w:r>
        <w:rPr>
          <w:rFonts w:eastAsia="楷体_GB2312"/>
          <w:color w:val="000000"/>
        </w:rPr>
        <w:fldChar w:fldCharType="begin"/>
      </w:r>
      <w:r>
        <w:rPr>
          <w:rFonts w:eastAsia="楷体_GB2312"/>
          <w:color w:val="000000"/>
          <w:sz w:val="24"/>
        </w:rPr>
        <w:instrText xml:space="preserve"> REF _Ref340392843 \r \h </w:instrText>
      </w:r>
      <w:r>
        <w:rPr>
          <w:rFonts w:eastAsia="楷体_GB2312"/>
          <w:color w:val="000000"/>
        </w:rPr>
        <w:instrText xml:space="preserve"> \* MERGEFORMAT </w:instrText>
      </w:r>
      <w:r>
        <w:rPr>
          <w:rFonts w:eastAsia="楷体_GB2312"/>
          <w:color w:val="000000"/>
        </w:rPr>
        <w:fldChar w:fldCharType="separate"/>
      </w:r>
      <w:r>
        <w:rPr>
          <w:rFonts w:eastAsia="楷体_GB2312"/>
          <w:color w:val="000000"/>
          <w:sz w:val="24"/>
        </w:rPr>
        <w:t>7.5</w:t>
      </w:r>
      <w:r>
        <w:rPr>
          <w:rFonts w:eastAsia="楷体_GB2312"/>
          <w:color w:val="000000"/>
        </w:rPr>
        <w:fldChar w:fldCharType="end"/>
      </w:r>
      <w:r>
        <w:rPr>
          <w:rFonts w:eastAsia="楷体_GB2312"/>
          <w:color w:val="000000"/>
          <w:sz w:val="24"/>
        </w:rPr>
        <w:t>款</w:t>
      </w:r>
      <w:r>
        <w:rPr>
          <w:rStyle w:val="41"/>
          <w:rFonts w:eastAsia="楷体_GB2312"/>
          <w:color w:val="auto"/>
          <w:w w:val="0"/>
          <w:sz w:val="24"/>
          <w:u w:val="none"/>
        </w:rPr>
        <w:t>的约定。</w:t>
      </w:r>
      <w:bookmarkEnd w:id="237"/>
    </w:p>
    <w:p w14:paraId="0C59D7C9">
      <w:pPr>
        <w:numPr>
          <w:ilvl w:val="2"/>
          <w:numId w:val="4"/>
        </w:numPr>
        <w:tabs>
          <w:tab w:val="left" w:pos="900"/>
          <w:tab w:val="left" w:pos="1843"/>
        </w:tabs>
        <w:spacing w:before="156" w:beforeLines="50" w:after="156" w:afterLines="50" w:line="360" w:lineRule="auto"/>
        <w:ind w:left="1701" w:hanging="777"/>
        <w:rPr>
          <w:rStyle w:val="41"/>
          <w:rFonts w:eastAsia="楷体_GB2312"/>
          <w:color w:val="auto"/>
          <w:w w:val="0"/>
          <w:sz w:val="24"/>
          <w:u w:val="none"/>
        </w:rPr>
      </w:pPr>
      <w:r>
        <w:rPr>
          <w:rStyle w:val="41"/>
          <w:rFonts w:eastAsia="楷体_GB2312"/>
          <w:color w:val="auto"/>
          <w:w w:val="0"/>
          <w:sz w:val="24"/>
          <w:u w:val="none"/>
        </w:rPr>
        <w:t>符合交易流通要求的“资产支持证券”是可转让的金融产品，可在银行间债券市场上市交易，代表相关持有人在“信托”中享有的相应</w:t>
      </w:r>
      <w:r>
        <w:rPr>
          <w:rFonts w:eastAsia="楷体_GB2312"/>
          <w:kern w:val="0"/>
          <w:sz w:val="24"/>
        </w:rPr>
        <w:t>权益</w:t>
      </w:r>
      <w:r>
        <w:rPr>
          <w:rStyle w:val="41"/>
          <w:rFonts w:eastAsia="楷体_GB2312"/>
          <w:color w:val="auto"/>
          <w:w w:val="0"/>
          <w:sz w:val="24"/>
          <w:u w:val="none"/>
        </w:rPr>
        <w:t>（包括接受本合同项下付款的权利）。</w:t>
      </w:r>
    </w:p>
    <w:p w14:paraId="6DB7F523">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38" w:name="_Ref221379070"/>
      <w:r>
        <w:rPr>
          <w:rFonts w:eastAsia="楷体_GB2312"/>
          <w:b/>
          <w:sz w:val="24"/>
        </w:rPr>
        <w:t>优先A级资产支持证券的基本特征</w:t>
      </w:r>
      <w:bookmarkEnd w:id="238"/>
    </w:p>
    <w:p w14:paraId="4544259E">
      <w:pPr>
        <w:numPr>
          <w:ilvl w:val="2"/>
          <w:numId w:val="4"/>
        </w:numPr>
        <w:spacing w:before="156" w:beforeLines="50" w:after="156" w:afterLines="50" w:line="360" w:lineRule="auto"/>
        <w:rPr>
          <w:rFonts w:eastAsia="楷体_GB2312"/>
          <w:sz w:val="24"/>
        </w:rPr>
      </w:pPr>
      <w:r>
        <w:rPr>
          <w:rFonts w:eastAsia="楷体_GB2312"/>
          <w:b/>
          <w:sz w:val="24"/>
        </w:rPr>
        <w:t>“优先A级资产支持证券”的比例：</w:t>
      </w:r>
      <w:r>
        <w:rPr>
          <w:rFonts w:eastAsia="楷体_GB2312"/>
          <w:sz w:val="24"/>
        </w:rPr>
        <w:t>在“资产支持证券”发行之日，“优先A级资产支持证券”的发行总量（面值）为【】元人民币，占发行总量（面值）的【】%。</w:t>
      </w:r>
    </w:p>
    <w:p w14:paraId="6263F96F">
      <w:pPr>
        <w:numPr>
          <w:ilvl w:val="2"/>
          <w:numId w:val="4"/>
        </w:numPr>
        <w:tabs>
          <w:tab w:val="left" w:pos="900"/>
        </w:tabs>
        <w:spacing w:before="156" w:beforeLines="50" w:after="156" w:afterLines="50" w:line="360" w:lineRule="auto"/>
        <w:rPr>
          <w:rFonts w:eastAsia="楷体_GB2312"/>
          <w:sz w:val="24"/>
        </w:rPr>
      </w:pPr>
      <w:r>
        <w:rPr>
          <w:rFonts w:eastAsia="楷体_GB2312"/>
          <w:b/>
          <w:sz w:val="24"/>
        </w:rPr>
        <w:t>面值：</w:t>
      </w:r>
      <w:r>
        <w:rPr>
          <w:rFonts w:eastAsia="楷体_GB2312"/>
          <w:sz w:val="24"/>
        </w:rPr>
        <w:t>每张“优先A级资产支持证券”的面值为人民币100元。</w:t>
      </w:r>
    </w:p>
    <w:p w14:paraId="30650BC4">
      <w:pPr>
        <w:numPr>
          <w:ilvl w:val="2"/>
          <w:numId w:val="4"/>
        </w:numPr>
        <w:tabs>
          <w:tab w:val="left" w:pos="900"/>
        </w:tabs>
        <w:spacing w:before="156" w:beforeLines="50" w:after="156" w:afterLines="50" w:line="360" w:lineRule="auto"/>
        <w:rPr>
          <w:rFonts w:eastAsia="楷体_GB2312"/>
          <w:sz w:val="24"/>
        </w:rPr>
      </w:pPr>
      <w:r>
        <w:rPr>
          <w:rFonts w:eastAsia="楷体_GB2312"/>
          <w:b/>
          <w:sz w:val="24"/>
        </w:rPr>
        <w:t>发行价格：</w:t>
      </w:r>
      <w:r>
        <w:rPr>
          <w:rFonts w:eastAsia="楷体_GB2312"/>
          <w:sz w:val="24"/>
        </w:rPr>
        <w:t>按面值发行。</w:t>
      </w:r>
    </w:p>
    <w:p w14:paraId="2F811C05">
      <w:pPr>
        <w:numPr>
          <w:ilvl w:val="2"/>
          <w:numId w:val="4"/>
        </w:numPr>
        <w:tabs>
          <w:tab w:val="left" w:pos="900"/>
        </w:tabs>
        <w:spacing w:before="156" w:beforeLines="50" w:after="156" w:afterLines="50" w:line="360" w:lineRule="auto"/>
        <w:rPr>
          <w:rFonts w:eastAsia="楷体_GB2312"/>
          <w:sz w:val="24"/>
        </w:rPr>
      </w:pPr>
      <w:r>
        <w:rPr>
          <w:rFonts w:eastAsia="楷体_GB2312"/>
          <w:b/>
          <w:sz w:val="24"/>
        </w:rPr>
        <w:t>票面利率：</w:t>
      </w:r>
      <w:r>
        <w:rPr>
          <w:rFonts w:eastAsia="楷体_GB2312"/>
          <w:sz w:val="24"/>
        </w:rPr>
        <w:t>票面利率为固定利率，根据“簿记建档”结果确定。</w:t>
      </w:r>
    </w:p>
    <w:p w14:paraId="071CC00A">
      <w:pPr>
        <w:numPr>
          <w:ilvl w:val="2"/>
          <w:numId w:val="4"/>
        </w:numPr>
        <w:tabs>
          <w:tab w:val="left" w:pos="900"/>
        </w:tabs>
        <w:spacing w:before="156" w:beforeLines="50" w:after="156" w:afterLines="50" w:line="360" w:lineRule="auto"/>
        <w:rPr>
          <w:rFonts w:eastAsia="楷体_GB2312"/>
          <w:sz w:val="24"/>
        </w:rPr>
      </w:pPr>
      <w:r>
        <w:rPr>
          <w:rFonts w:eastAsia="楷体_GB2312"/>
          <w:b/>
          <w:sz w:val="24"/>
        </w:rPr>
        <w:t>期限：</w:t>
      </w:r>
      <w:r>
        <w:rPr>
          <w:rFonts w:eastAsia="楷体_GB2312"/>
          <w:sz w:val="24"/>
        </w:rPr>
        <w:t>自“信托设立日”（含该日）至“法定到期日”止（不含该日）。“法定到期日”并不是</w:t>
      </w:r>
      <w:r>
        <w:rPr>
          <w:rFonts w:eastAsia="楷体_GB2312"/>
          <w:bCs/>
          <w:sz w:val="24"/>
        </w:rPr>
        <w:t>“</w:t>
      </w:r>
      <w:r>
        <w:rPr>
          <w:rFonts w:eastAsia="楷体_GB2312"/>
          <w:sz w:val="24"/>
        </w:rPr>
        <w:t>优先A级资产支持证券”的实际到期日，“优先A级资产支持证券”的本金将可能于“法定到期日”前清偿完毕。</w:t>
      </w:r>
    </w:p>
    <w:p w14:paraId="74FFF966">
      <w:pPr>
        <w:numPr>
          <w:ilvl w:val="2"/>
          <w:numId w:val="4"/>
        </w:numPr>
        <w:spacing w:before="156" w:beforeLines="50" w:after="156" w:afterLines="50" w:line="360" w:lineRule="auto"/>
        <w:rPr>
          <w:rStyle w:val="41"/>
          <w:rFonts w:eastAsia="楷体_GB2312"/>
          <w:w w:val="0"/>
          <w:sz w:val="24"/>
        </w:rPr>
      </w:pPr>
      <w:r>
        <w:rPr>
          <w:rStyle w:val="41"/>
          <w:rFonts w:eastAsia="楷体_GB2312"/>
          <w:b/>
          <w:w w:val="0"/>
          <w:sz w:val="24"/>
        </w:rPr>
        <w:t>法定到期日</w:t>
      </w:r>
      <w:r>
        <w:rPr>
          <w:rStyle w:val="41"/>
          <w:rFonts w:eastAsia="楷体_GB2312"/>
          <w:w w:val="0"/>
          <w:sz w:val="24"/>
        </w:rPr>
        <w:t>：【】年【】月【】日。</w:t>
      </w:r>
    </w:p>
    <w:p w14:paraId="1B0FBFFC">
      <w:pPr>
        <w:numPr>
          <w:ilvl w:val="2"/>
          <w:numId w:val="4"/>
        </w:numPr>
        <w:tabs>
          <w:tab w:val="left" w:pos="900"/>
        </w:tabs>
        <w:spacing w:before="156" w:beforeLines="50" w:after="156" w:afterLines="50" w:line="360" w:lineRule="auto"/>
        <w:rPr>
          <w:rFonts w:eastAsia="楷体_GB2312"/>
          <w:sz w:val="24"/>
        </w:rPr>
      </w:pPr>
      <w:r>
        <w:rPr>
          <w:rFonts w:eastAsia="楷体_GB2312"/>
          <w:b/>
          <w:sz w:val="24"/>
        </w:rPr>
        <w:t>计息期间：</w:t>
      </w:r>
      <w:r>
        <w:rPr>
          <w:rFonts w:eastAsia="楷体_GB2312"/>
          <w:sz w:val="24"/>
        </w:rPr>
        <w:t>一个“计息日”（含该日）到下一个“计息日”（不含该日）的期间。其中，第一个“计息期间”指“信托设立日”（含该日）开始并于第一个“计息日”（不含该日）结束。</w:t>
      </w:r>
    </w:p>
    <w:p w14:paraId="4644D8D3">
      <w:pPr>
        <w:pStyle w:val="42"/>
        <w:tabs>
          <w:tab w:val="left" w:pos="900"/>
        </w:tabs>
        <w:spacing w:before="156" w:beforeLines="50" w:after="156" w:afterLines="50" w:line="360" w:lineRule="auto"/>
        <w:ind w:left="1418" w:firstLine="0" w:firstLineChars="0"/>
        <w:rPr>
          <w:rFonts w:eastAsia="楷体_GB2312"/>
          <w:b/>
          <w:i/>
          <w:iCs/>
          <w:color w:val="FF0000"/>
          <w:sz w:val="24"/>
        </w:rPr>
      </w:pPr>
      <w:r>
        <w:rPr>
          <w:rFonts w:eastAsia="楷体_GB2312"/>
          <w:b/>
          <w:i/>
          <w:iCs/>
          <w:color w:val="FF0000"/>
          <w:sz w:val="24"/>
        </w:rPr>
        <w:t>【注：如信托终止或信托清算时根据交易文件约定而对计息日进行特殊安排的，则可予以补充相关约定。】</w:t>
      </w:r>
    </w:p>
    <w:p w14:paraId="5A3EEBEB">
      <w:pPr>
        <w:numPr>
          <w:ilvl w:val="2"/>
          <w:numId w:val="4"/>
        </w:numPr>
        <w:tabs>
          <w:tab w:val="left" w:pos="900"/>
        </w:tabs>
        <w:spacing w:before="156" w:beforeLines="50" w:after="156" w:afterLines="50" w:line="360" w:lineRule="auto"/>
        <w:rPr>
          <w:rFonts w:eastAsia="楷体_GB2312"/>
          <w:sz w:val="24"/>
        </w:rPr>
      </w:pPr>
      <w:r>
        <w:rPr>
          <w:rFonts w:eastAsia="楷体_GB2312"/>
          <w:b/>
          <w:sz w:val="24"/>
        </w:rPr>
        <w:t>计息方式：</w:t>
      </w:r>
      <w:r>
        <w:rPr>
          <w:rFonts w:eastAsia="楷体_GB2312"/>
          <w:sz w:val="24"/>
        </w:rPr>
        <w:t>在每一个“支付日”应支付的“优先A级资产支持证券”利息=“优先A级资产支持证券”在前一个“支付日”偿付后的“未偿本金余额”（就第一个“支付日”而言，即“优先A级资产支持证券”在“信托设立日”的面值）×票面利率×“计息期间”实际天数÷365天；尾数计算到分，分以下四舍五入；单利计息。</w:t>
      </w:r>
    </w:p>
    <w:p w14:paraId="3AED8B56">
      <w:pPr>
        <w:numPr>
          <w:ilvl w:val="2"/>
          <w:numId w:val="4"/>
        </w:numPr>
        <w:tabs>
          <w:tab w:val="left" w:pos="900"/>
        </w:tabs>
        <w:spacing w:before="156" w:beforeLines="50" w:after="156" w:afterLines="50" w:line="360" w:lineRule="auto"/>
        <w:rPr>
          <w:rFonts w:eastAsia="楷体_GB2312"/>
          <w:sz w:val="24"/>
        </w:rPr>
      </w:pPr>
      <w:r>
        <w:rPr>
          <w:rFonts w:eastAsia="楷体_GB2312"/>
          <w:b/>
          <w:sz w:val="24"/>
        </w:rPr>
        <w:t>还本付息方式：</w:t>
      </w:r>
      <w:r>
        <w:rPr>
          <w:rFonts w:eastAsia="楷体_GB2312"/>
          <w:sz w:val="24"/>
        </w:rPr>
        <w:t>在每一个“支付日”，根据本合同第</w:t>
      </w:r>
      <w:r>
        <w:rPr>
          <w:rFonts w:eastAsia="楷体_GB2312"/>
          <w:sz w:val="24"/>
        </w:rPr>
        <w:fldChar w:fldCharType="begin"/>
      </w:r>
      <w:r>
        <w:rPr>
          <w:rFonts w:eastAsia="楷体_GB2312"/>
          <w:sz w:val="24"/>
        </w:rPr>
        <w:instrText xml:space="preserve"> REF _Ref221735199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条约定的支付顺序进行支付。其中：本金还款金额的计算方式按照本合同约定的“资产支持证券”本金还款金额计算方式（见本合同</w:t>
      </w:r>
      <w:r>
        <w:rPr>
          <w:rFonts w:eastAsia="楷体_GB2312"/>
          <w:b/>
          <w:i/>
          <w:sz w:val="24"/>
        </w:rPr>
        <w:t>附件五</w:t>
      </w:r>
      <w:r>
        <w:rPr>
          <w:rFonts w:eastAsia="楷体_GB2312"/>
          <w:sz w:val="24"/>
        </w:rPr>
        <w:t>）进行。</w:t>
      </w:r>
    </w:p>
    <w:p w14:paraId="46072A79">
      <w:pPr>
        <w:numPr>
          <w:ilvl w:val="2"/>
          <w:numId w:val="4"/>
        </w:numPr>
        <w:tabs>
          <w:tab w:val="left" w:pos="900"/>
        </w:tabs>
        <w:spacing w:before="156" w:beforeLines="50" w:after="156" w:afterLines="50" w:line="360" w:lineRule="auto"/>
        <w:rPr>
          <w:rFonts w:eastAsia="楷体_GB2312"/>
          <w:sz w:val="24"/>
        </w:rPr>
      </w:pPr>
      <w:r>
        <w:rPr>
          <w:rFonts w:eastAsia="楷体_GB2312"/>
          <w:b/>
          <w:sz w:val="24"/>
        </w:rPr>
        <w:t>证券形式：</w:t>
      </w:r>
      <w:r>
        <w:rPr>
          <w:rFonts w:eastAsia="楷体_GB2312"/>
          <w:sz w:val="24"/>
        </w:rPr>
        <w:t>采用实名记账方式，由“登记托管机构”统一托管。</w:t>
      </w:r>
    </w:p>
    <w:p w14:paraId="1BF541B2">
      <w:pPr>
        <w:numPr>
          <w:ilvl w:val="2"/>
          <w:numId w:val="4"/>
        </w:numPr>
        <w:tabs>
          <w:tab w:val="left" w:pos="900"/>
        </w:tabs>
        <w:spacing w:before="156" w:beforeLines="50" w:after="156" w:afterLines="50" w:line="360" w:lineRule="auto"/>
        <w:rPr>
          <w:rFonts w:eastAsia="楷体_GB2312"/>
          <w:sz w:val="24"/>
        </w:rPr>
      </w:pPr>
      <w:r>
        <w:rPr>
          <w:rFonts w:eastAsia="楷体_GB2312"/>
          <w:b/>
          <w:sz w:val="24"/>
        </w:rPr>
        <w:t>税收：</w:t>
      </w:r>
      <w:r>
        <w:rPr>
          <w:rFonts w:eastAsia="楷体_GB2312"/>
          <w:sz w:val="24"/>
        </w:rPr>
        <w:t>有关“优先A级资产支持证券”本金和利息的所有付款，如须依照适用的“法律”预提或扣除任何税收、规费或任何性质的政府收费，则“受托人”无需就该等预提或扣除支付任何额外的款项。</w:t>
      </w:r>
    </w:p>
    <w:p w14:paraId="2AE6060F">
      <w:pPr>
        <w:numPr>
          <w:ilvl w:val="2"/>
          <w:numId w:val="4"/>
        </w:numPr>
        <w:tabs>
          <w:tab w:val="left" w:pos="900"/>
        </w:tabs>
        <w:spacing w:before="156" w:beforeLines="50" w:after="156" w:afterLines="50" w:line="360" w:lineRule="auto"/>
        <w:rPr>
          <w:rFonts w:eastAsia="楷体_GB2312"/>
          <w:sz w:val="24"/>
        </w:rPr>
      </w:pPr>
      <w:r>
        <w:rPr>
          <w:rFonts w:eastAsia="楷体_GB2312"/>
          <w:b/>
          <w:sz w:val="24"/>
        </w:rPr>
        <w:t>币种：</w:t>
      </w:r>
      <w:r>
        <w:rPr>
          <w:rFonts w:eastAsia="楷体_GB2312"/>
          <w:sz w:val="24"/>
        </w:rPr>
        <w:t>人民币。</w:t>
      </w:r>
    </w:p>
    <w:p w14:paraId="5583305C">
      <w:pPr>
        <w:numPr>
          <w:ilvl w:val="2"/>
          <w:numId w:val="4"/>
        </w:numPr>
        <w:tabs>
          <w:tab w:val="left" w:pos="900"/>
        </w:tabs>
        <w:spacing w:before="156" w:beforeLines="50" w:after="156" w:afterLines="50" w:line="360" w:lineRule="auto"/>
        <w:rPr>
          <w:rFonts w:eastAsia="楷体_GB2312"/>
          <w:sz w:val="24"/>
        </w:rPr>
      </w:pPr>
      <w:r>
        <w:rPr>
          <w:rFonts w:eastAsia="楷体_GB2312"/>
          <w:b/>
          <w:sz w:val="24"/>
        </w:rPr>
        <w:t>信用级别：</w:t>
      </w:r>
      <w:r>
        <w:rPr>
          <w:rFonts w:eastAsia="楷体_GB2312"/>
          <w:sz w:val="24"/>
        </w:rPr>
        <w:t>在“资产支持证券”发行之日，“【评级机构1简称】”给予“优先A级资产支持证券”的信用级别为【】级，“【评级机构2简称】”给予“优先A级资产支持证券”的信用级别为【】级。</w:t>
      </w:r>
    </w:p>
    <w:p w14:paraId="24E31B21">
      <w:pPr>
        <w:numPr>
          <w:ilvl w:val="1"/>
          <w:numId w:val="4"/>
        </w:numPr>
        <w:tabs>
          <w:tab w:val="left" w:pos="900"/>
        </w:tabs>
        <w:spacing w:before="156" w:beforeLines="50" w:after="156" w:afterLines="50" w:line="360" w:lineRule="auto"/>
        <w:outlineLvl w:val="1"/>
        <w:rPr>
          <w:rFonts w:eastAsia="楷体_GB2312"/>
          <w:b/>
          <w:sz w:val="24"/>
        </w:rPr>
      </w:pPr>
      <w:r>
        <w:rPr>
          <w:rFonts w:eastAsia="楷体_GB2312"/>
          <w:b/>
          <w:sz w:val="24"/>
        </w:rPr>
        <w:t>优先B级资产支持证券的基本特征</w:t>
      </w:r>
    </w:p>
    <w:p w14:paraId="3794956F">
      <w:pPr>
        <w:numPr>
          <w:ilvl w:val="2"/>
          <w:numId w:val="4"/>
        </w:numPr>
        <w:tabs>
          <w:tab w:val="left" w:pos="900"/>
        </w:tabs>
        <w:spacing w:before="156" w:beforeLines="50" w:after="156" w:afterLines="50" w:line="360" w:lineRule="auto"/>
        <w:rPr>
          <w:rFonts w:eastAsia="楷体_GB2312"/>
          <w:bCs/>
          <w:sz w:val="24"/>
        </w:rPr>
      </w:pPr>
      <w:r>
        <w:rPr>
          <w:rFonts w:eastAsia="楷体_GB2312"/>
          <w:b/>
          <w:sz w:val="24"/>
        </w:rPr>
        <w:t>“优先B级资产支持证券”的比例：</w:t>
      </w:r>
      <w:r>
        <w:rPr>
          <w:rFonts w:eastAsia="楷体_GB2312"/>
          <w:bCs/>
          <w:sz w:val="24"/>
        </w:rPr>
        <w:t>在“资产支持证券”发行之日，“优先B级资产支持证券”的发行总量（面值）为【】元人民币，占发行总量（面值）的【】%。</w:t>
      </w:r>
    </w:p>
    <w:p w14:paraId="5A3591FF">
      <w:pPr>
        <w:numPr>
          <w:ilvl w:val="2"/>
          <w:numId w:val="4"/>
        </w:numPr>
        <w:tabs>
          <w:tab w:val="left" w:pos="900"/>
        </w:tabs>
        <w:spacing w:before="156" w:beforeLines="50" w:after="156" w:afterLines="50" w:line="360" w:lineRule="auto"/>
        <w:rPr>
          <w:rFonts w:eastAsia="楷体_GB2312"/>
          <w:b/>
          <w:sz w:val="24"/>
        </w:rPr>
      </w:pPr>
      <w:r>
        <w:rPr>
          <w:rFonts w:eastAsia="楷体_GB2312"/>
          <w:b/>
          <w:sz w:val="24"/>
        </w:rPr>
        <w:t>面值：</w:t>
      </w:r>
      <w:r>
        <w:rPr>
          <w:rFonts w:eastAsia="楷体_GB2312"/>
          <w:bCs/>
          <w:sz w:val="24"/>
        </w:rPr>
        <w:t>每张“优先B级资产支持证券”的面值为人民币100元。</w:t>
      </w:r>
    </w:p>
    <w:p w14:paraId="542ED933">
      <w:pPr>
        <w:numPr>
          <w:ilvl w:val="2"/>
          <w:numId w:val="4"/>
        </w:numPr>
        <w:tabs>
          <w:tab w:val="left" w:pos="900"/>
        </w:tabs>
        <w:spacing w:before="156" w:beforeLines="50" w:after="156" w:afterLines="50" w:line="360" w:lineRule="auto"/>
        <w:rPr>
          <w:rFonts w:eastAsia="楷体_GB2312"/>
          <w:b/>
          <w:sz w:val="24"/>
        </w:rPr>
      </w:pPr>
      <w:r>
        <w:rPr>
          <w:rFonts w:eastAsia="楷体_GB2312"/>
          <w:b/>
          <w:sz w:val="24"/>
        </w:rPr>
        <w:t>发行价格：</w:t>
      </w:r>
      <w:r>
        <w:rPr>
          <w:rFonts w:eastAsia="楷体_GB2312"/>
          <w:bCs/>
          <w:sz w:val="24"/>
        </w:rPr>
        <w:t>按面值发行。</w:t>
      </w:r>
    </w:p>
    <w:p w14:paraId="244F5325">
      <w:pPr>
        <w:numPr>
          <w:ilvl w:val="2"/>
          <w:numId w:val="4"/>
        </w:numPr>
        <w:tabs>
          <w:tab w:val="left" w:pos="900"/>
        </w:tabs>
        <w:spacing w:before="156" w:beforeLines="50" w:after="156" w:afterLines="50" w:line="360" w:lineRule="auto"/>
        <w:rPr>
          <w:rFonts w:eastAsia="楷体_GB2312"/>
          <w:b/>
          <w:sz w:val="24"/>
        </w:rPr>
      </w:pPr>
      <w:r>
        <w:rPr>
          <w:rFonts w:eastAsia="楷体_GB2312"/>
          <w:b/>
          <w:sz w:val="24"/>
        </w:rPr>
        <w:t>票面利率：</w:t>
      </w:r>
      <w:r>
        <w:rPr>
          <w:rFonts w:eastAsia="楷体_GB2312"/>
          <w:bCs/>
          <w:sz w:val="24"/>
        </w:rPr>
        <w:t>票面利率为固定利率，根据“簿记建档”结果确定。</w:t>
      </w:r>
    </w:p>
    <w:p w14:paraId="12356F36">
      <w:pPr>
        <w:numPr>
          <w:ilvl w:val="2"/>
          <w:numId w:val="4"/>
        </w:numPr>
        <w:tabs>
          <w:tab w:val="left" w:pos="900"/>
        </w:tabs>
        <w:spacing w:before="156" w:beforeLines="50" w:after="156" w:afterLines="50" w:line="360" w:lineRule="auto"/>
        <w:rPr>
          <w:rFonts w:eastAsia="楷体_GB2312"/>
          <w:bCs/>
          <w:sz w:val="24"/>
        </w:rPr>
      </w:pPr>
      <w:r>
        <w:rPr>
          <w:rFonts w:eastAsia="楷体_GB2312"/>
          <w:b/>
          <w:sz w:val="24"/>
        </w:rPr>
        <w:t>期限：</w:t>
      </w:r>
      <w:r>
        <w:rPr>
          <w:rFonts w:eastAsia="楷体_GB2312"/>
          <w:bCs/>
          <w:sz w:val="24"/>
        </w:rPr>
        <w:t>自“信托设立日”（含该日）至“法定到期日”止（不含该日）。“法定到期日”并不是“优先B级资产支持证券”的实际到期日，“优先B级资产支持证券”的本金将可能于“法定到期日”前清偿完毕。</w:t>
      </w:r>
    </w:p>
    <w:p w14:paraId="26F82A02">
      <w:pPr>
        <w:numPr>
          <w:ilvl w:val="2"/>
          <w:numId w:val="4"/>
        </w:numPr>
        <w:tabs>
          <w:tab w:val="left" w:pos="900"/>
        </w:tabs>
        <w:spacing w:before="156" w:beforeLines="50" w:after="156" w:afterLines="50" w:line="360" w:lineRule="auto"/>
        <w:rPr>
          <w:rFonts w:eastAsia="楷体_GB2312"/>
          <w:b/>
          <w:sz w:val="24"/>
        </w:rPr>
      </w:pPr>
      <w:r>
        <w:rPr>
          <w:rFonts w:eastAsia="楷体_GB2312"/>
          <w:b/>
          <w:sz w:val="24"/>
        </w:rPr>
        <w:t>法定到期日：</w:t>
      </w:r>
      <w:r>
        <w:rPr>
          <w:rFonts w:eastAsia="楷体_GB2312"/>
          <w:bCs/>
          <w:sz w:val="24"/>
        </w:rPr>
        <w:t>【】年【】月【】日。</w:t>
      </w:r>
    </w:p>
    <w:p w14:paraId="19705BD5">
      <w:pPr>
        <w:numPr>
          <w:ilvl w:val="2"/>
          <w:numId w:val="4"/>
        </w:numPr>
        <w:tabs>
          <w:tab w:val="left" w:pos="900"/>
        </w:tabs>
        <w:spacing w:before="156" w:beforeLines="50" w:after="156" w:afterLines="50" w:line="360" w:lineRule="auto"/>
        <w:rPr>
          <w:rFonts w:eastAsia="楷体_GB2312"/>
          <w:sz w:val="24"/>
        </w:rPr>
      </w:pPr>
      <w:r>
        <w:rPr>
          <w:rFonts w:eastAsia="楷体_GB2312"/>
          <w:b/>
          <w:sz w:val="24"/>
        </w:rPr>
        <w:t>计息期间：</w:t>
      </w:r>
      <w:r>
        <w:rPr>
          <w:rFonts w:eastAsia="楷体_GB2312"/>
          <w:sz w:val="24"/>
        </w:rPr>
        <w:t>一个“计息日”（含该日）到下一个“计息日”（不含该日）的期间。其中，第一个“计息期间”指“信托设立日”（含该日）开始并于【】年【    】月【    】日（不含该日）结束。</w:t>
      </w:r>
    </w:p>
    <w:p w14:paraId="067FAA56">
      <w:pPr>
        <w:numPr>
          <w:ilvl w:val="2"/>
          <w:numId w:val="4"/>
        </w:numPr>
        <w:tabs>
          <w:tab w:val="left" w:pos="900"/>
        </w:tabs>
        <w:spacing w:before="156" w:beforeLines="50" w:after="156" w:afterLines="50" w:line="360" w:lineRule="auto"/>
        <w:rPr>
          <w:rFonts w:eastAsia="楷体_GB2312"/>
          <w:sz w:val="24"/>
        </w:rPr>
      </w:pPr>
      <w:r>
        <w:rPr>
          <w:rFonts w:eastAsia="楷体_GB2312"/>
          <w:b/>
          <w:sz w:val="24"/>
        </w:rPr>
        <w:t>计息方式：</w:t>
      </w:r>
      <w:r>
        <w:rPr>
          <w:rFonts w:eastAsia="楷体_GB2312"/>
          <w:sz w:val="24"/>
        </w:rPr>
        <w:t>在每一个“支付日”应支付的“优先B级资产支持证券”利息=“优先B级资产支持证券”在前一个“支付日”偿付后的“未偿本金余额”(就第一个“支付日”而言，即“优先B级资产支持证券”在“信托设立日”的面值)×票面利率×“计息期间”实际天数÷365天；尾数计算到分，分以下四舍五入；单利计息。</w:t>
      </w:r>
    </w:p>
    <w:p w14:paraId="6AB6624E">
      <w:pPr>
        <w:numPr>
          <w:ilvl w:val="2"/>
          <w:numId w:val="4"/>
        </w:numPr>
        <w:tabs>
          <w:tab w:val="left" w:pos="900"/>
        </w:tabs>
        <w:spacing w:before="156" w:beforeLines="50" w:after="156" w:afterLines="50" w:line="360" w:lineRule="auto"/>
        <w:rPr>
          <w:rFonts w:eastAsia="楷体_GB2312"/>
          <w:b/>
          <w:sz w:val="24"/>
        </w:rPr>
      </w:pPr>
      <w:r>
        <w:rPr>
          <w:rFonts w:eastAsia="楷体_GB2312"/>
          <w:b/>
          <w:sz w:val="24"/>
        </w:rPr>
        <w:t>还本付息方式：</w:t>
      </w:r>
      <w:r>
        <w:rPr>
          <w:rFonts w:eastAsia="楷体_GB2312"/>
          <w:sz w:val="24"/>
        </w:rPr>
        <w:t>在每一个“支付日”，根据本合同第</w:t>
      </w:r>
      <w:r>
        <w:rPr>
          <w:rFonts w:eastAsia="楷体_GB2312"/>
          <w:sz w:val="24"/>
        </w:rPr>
        <w:fldChar w:fldCharType="begin"/>
      </w:r>
      <w:r>
        <w:rPr>
          <w:rFonts w:eastAsia="楷体_GB2312"/>
          <w:sz w:val="24"/>
        </w:rPr>
        <w:instrText xml:space="preserve"> REF _Ref221735225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条约定的支付顺序进行支付。其中：本金还款金额的计算方式按照本合同约定的“资产支持证券”本金还款金额计算方式（见本合同</w:t>
      </w:r>
      <w:r>
        <w:rPr>
          <w:rFonts w:eastAsia="楷体_GB2312"/>
          <w:b/>
          <w:i/>
          <w:sz w:val="24"/>
        </w:rPr>
        <w:t>附件五</w:t>
      </w:r>
      <w:r>
        <w:rPr>
          <w:rFonts w:eastAsia="楷体_GB2312"/>
          <w:sz w:val="24"/>
        </w:rPr>
        <w:t>）进行。</w:t>
      </w:r>
    </w:p>
    <w:p w14:paraId="71E64BF6">
      <w:pPr>
        <w:numPr>
          <w:ilvl w:val="2"/>
          <w:numId w:val="4"/>
        </w:numPr>
        <w:tabs>
          <w:tab w:val="left" w:pos="900"/>
        </w:tabs>
        <w:spacing w:before="156" w:beforeLines="50" w:after="156" w:afterLines="50" w:line="360" w:lineRule="auto"/>
        <w:rPr>
          <w:rFonts w:eastAsia="楷体_GB2312"/>
          <w:sz w:val="24"/>
        </w:rPr>
      </w:pPr>
      <w:r>
        <w:rPr>
          <w:rFonts w:eastAsia="楷体_GB2312"/>
          <w:b/>
          <w:sz w:val="24"/>
        </w:rPr>
        <w:t>证券形式：</w:t>
      </w:r>
      <w:r>
        <w:rPr>
          <w:rFonts w:eastAsia="楷体_GB2312"/>
          <w:sz w:val="24"/>
        </w:rPr>
        <w:t>采用实名记账方式，由“登记托管机构”统一托管。</w:t>
      </w:r>
    </w:p>
    <w:p w14:paraId="2AFCFF59">
      <w:pPr>
        <w:numPr>
          <w:ilvl w:val="2"/>
          <w:numId w:val="4"/>
        </w:numPr>
        <w:tabs>
          <w:tab w:val="left" w:pos="900"/>
        </w:tabs>
        <w:spacing w:before="156" w:beforeLines="50" w:after="156" w:afterLines="50" w:line="360" w:lineRule="auto"/>
        <w:rPr>
          <w:rFonts w:eastAsia="楷体_GB2312"/>
          <w:sz w:val="24"/>
        </w:rPr>
      </w:pPr>
      <w:r>
        <w:rPr>
          <w:rFonts w:eastAsia="楷体_GB2312"/>
          <w:b/>
          <w:sz w:val="24"/>
        </w:rPr>
        <w:t>税收：</w:t>
      </w:r>
      <w:r>
        <w:rPr>
          <w:rFonts w:eastAsia="楷体_GB2312"/>
          <w:sz w:val="24"/>
        </w:rPr>
        <w:t>有关“优先B级资产支持证券”本金和利息的所有付款，如须依照适用的“法律”预提或扣除任何税收、规费或任何性质的政府收费，则“受托人”无需就该等预提或扣除支付任何额外的款项。</w:t>
      </w:r>
    </w:p>
    <w:p w14:paraId="46DCD139">
      <w:pPr>
        <w:numPr>
          <w:ilvl w:val="2"/>
          <w:numId w:val="4"/>
        </w:numPr>
        <w:tabs>
          <w:tab w:val="left" w:pos="900"/>
        </w:tabs>
        <w:spacing w:before="156" w:beforeLines="50" w:after="156" w:afterLines="50" w:line="360" w:lineRule="auto"/>
        <w:rPr>
          <w:rFonts w:eastAsia="楷体_GB2312"/>
          <w:sz w:val="24"/>
        </w:rPr>
      </w:pPr>
      <w:r>
        <w:rPr>
          <w:rFonts w:eastAsia="楷体_GB2312"/>
          <w:b/>
          <w:sz w:val="24"/>
        </w:rPr>
        <w:t>币种：</w:t>
      </w:r>
      <w:r>
        <w:rPr>
          <w:rFonts w:eastAsia="楷体_GB2312"/>
          <w:sz w:val="24"/>
        </w:rPr>
        <w:t>人民币。</w:t>
      </w:r>
    </w:p>
    <w:p w14:paraId="20535405">
      <w:pPr>
        <w:numPr>
          <w:ilvl w:val="2"/>
          <w:numId w:val="4"/>
        </w:numPr>
        <w:tabs>
          <w:tab w:val="left" w:pos="900"/>
        </w:tabs>
        <w:spacing w:before="156" w:beforeLines="50" w:after="156" w:afterLines="50" w:line="360" w:lineRule="auto"/>
        <w:rPr>
          <w:rFonts w:eastAsia="楷体_GB2312"/>
          <w:sz w:val="24"/>
        </w:rPr>
      </w:pPr>
      <w:r>
        <w:rPr>
          <w:rFonts w:eastAsia="楷体_GB2312"/>
          <w:b/>
          <w:sz w:val="24"/>
        </w:rPr>
        <w:t>信用级别：</w:t>
      </w:r>
      <w:r>
        <w:rPr>
          <w:rFonts w:eastAsia="楷体_GB2312"/>
          <w:sz w:val="24"/>
        </w:rPr>
        <w:t>在“资产支持证券”发行之日，“【评级机构1简称】”给予“优先B级资产支持证券”的信用级别为【】级、“【评级机构2简称】”给予“优先B级资产支持证券”的信用级别为【】级。</w:t>
      </w:r>
    </w:p>
    <w:p w14:paraId="37CB1544">
      <w:pPr>
        <w:numPr>
          <w:ilvl w:val="1"/>
          <w:numId w:val="4"/>
        </w:numPr>
        <w:tabs>
          <w:tab w:val="left" w:pos="900"/>
        </w:tabs>
        <w:spacing w:before="156" w:beforeLines="50" w:after="156" w:afterLines="50" w:line="360" w:lineRule="auto"/>
        <w:outlineLvl w:val="1"/>
        <w:rPr>
          <w:rFonts w:eastAsia="楷体_GB2312"/>
          <w:b/>
          <w:sz w:val="24"/>
        </w:rPr>
      </w:pPr>
      <w:bookmarkStart w:id="239" w:name="_Ref340392843"/>
      <w:r>
        <w:rPr>
          <w:rFonts w:eastAsia="楷体_GB2312"/>
          <w:b/>
          <w:sz w:val="24"/>
        </w:rPr>
        <w:t>次级资产支持证券的基本特征</w:t>
      </w:r>
      <w:bookmarkEnd w:id="239"/>
    </w:p>
    <w:p w14:paraId="04FB9631">
      <w:pPr>
        <w:numPr>
          <w:ilvl w:val="2"/>
          <w:numId w:val="4"/>
        </w:numPr>
        <w:spacing w:before="156" w:beforeLines="50" w:after="156" w:afterLines="50" w:line="360" w:lineRule="auto"/>
        <w:rPr>
          <w:rFonts w:eastAsia="楷体_GB2312"/>
          <w:b/>
          <w:sz w:val="24"/>
        </w:rPr>
      </w:pPr>
      <w:r>
        <w:rPr>
          <w:rFonts w:eastAsia="楷体_GB2312"/>
          <w:b/>
          <w:sz w:val="24"/>
        </w:rPr>
        <w:t>“次级资产支持证券”的发行总量与比例：</w:t>
      </w:r>
      <w:r>
        <w:rPr>
          <w:rFonts w:eastAsia="楷体_GB2312"/>
          <w:sz w:val="24"/>
        </w:rPr>
        <w:t>在“资产支持证券”发行之日，“次级资产支持证券”的发行总量（面值）为【】元人民币，占“资产支持证券”发行总量（面值）的【】%。</w:t>
      </w:r>
    </w:p>
    <w:p w14:paraId="42BD8A07">
      <w:pPr>
        <w:numPr>
          <w:ilvl w:val="2"/>
          <w:numId w:val="4"/>
        </w:numPr>
        <w:tabs>
          <w:tab w:val="left" w:pos="900"/>
        </w:tabs>
        <w:spacing w:before="156" w:beforeLines="50" w:after="156" w:afterLines="50" w:line="360" w:lineRule="auto"/>
        <w:rPr>
          <w:rFonts w:eastAsia="楷体_GB2312"/>
          <w:sz w:val="24"/>
        </w:rPr>
      </w:pPr>
      <w:r>
        <w:rPr>
          <w:rFonts w:eastAsia="楷体_GB2312"/>
          <w:b/>
          <w:sz w:val="24"/>
        </w:rPr>
        <w:t>面值：</w:t>
      </w:r>
      <w:r>
        <w:rPr>
          <w:rFonts w:eastAsia="楷体_GB2312"/>
          <w:sz w:val="24"/>
        </w:rPr>
        <w:t>每张</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的面值为人民币100元。</w:t>
      </w:r>
    </w:p>
    <w:p w14:paraId="7C64F92B">
      <w:pPr>
        <w:numPr>
          <w:ilvl w:val="2"/>
          <w:numId w:val="4"/>
        </w:numPr>
        <w:tabs>
          <w:tab w:val="left" w:pos="900"/>
        </w:tabs>
        <w:spacing w:before="156" w:beforeLines="50" w:after="156" w:afterLines="50" w:line="360" w:lineRule="auto"/>
        <w:rPr>
          <w:rFonts w:eastAsia="楷体_GB2312"/>
          <w:sz w:val="24"/>
        </w:rPr>
      </w:pPr>
      <w:r>
        <w:rPr>
          <w:rFonts w:eastAsia="楷体_GB2312"/>
          <w:b/>
          <w:sz w:val="24"/>
        </w:rPr>
        <w:t>发行价格：</w:t>
      </w:r>
      <w:r>
        <w:rPr>
          <w:rFonts w:eastAsia="楷体_GB2312"/>
          <w:sz w:val="24"/>
        </w:rPr>
        <w:t>按面值发行。</w:t>
      </w:r>
    </w:p>
    <w:p w14:paraId="48B7E387">
      <w:pPr>
        <w:numPr>
          <w:ilvl w:val="2"/>
          <w:numId w:val="4"/>
        </w:numPr>
        <w:tabs>
          <w:tab w:val="left" w:pos="900"/>
        </w:tabs>
        <w:spacing w:before="156" w:beforeLines="50" w:after="156" w:afterLines="50" w:line="360" w:lineRule="auto"/>
        <w:rPr>
          <w:rFonts w:eastAsia="楷体_GB2312"/>
          <w:sz w:val="24"/>
        </w:rPr>
      </w:pPr>
      <w:r>
        <w:rPr>
          <w:rFonts w:eastAsia="楷体_GB2312"/>
          <w:b/>
          <w:sz w:val="24"/>
        </w:rPr>
        <w:t>票面利率：</w:t>
      </w:r>
      <w:r>
        <w:rPr>
          <w:rFonts w:eastAsia="楷体_GB2312"/>
          <w:sz w:val="24"/>
        </w:rPr>
        <w:t>无票面利率。</w:t>
      </w:r>
    </w:p>
    <w:p w14:paraId="51A08417">
      <w:pPr>
        <w:numPr>
          <w:ilvl w:val="2"/>
          <w:numId w:val="4"/>
        </w:numPr>
        <w:tabs>
          <w:tab w:val="left" w:pos="900"/>
        </w:tabs>
        <w:spacing w:before="156" w:beforeLines="50" w:after="156" w:afterLines="50" w:line="360" w:lineRule="auto"/>
        <w:rPr>
          <w:rFonts w:eastAsia="楷体_GB2312"/>
          <w:sz w:val="24"/>
        </w:rPr>
      </w:pPr>
      <w:r>
        <w:rPr>
          <w:rFonts w:eastAsia="楷体_GB2312"/>
          <w:b/>
          <w:sz w:val="24"/>
        </w:rPr>
        <w:t>期限：</w:t>
      </w:r>
      <w:r>
        <w:rPr>
          <w:rFonts w:eastAsia="楷体_GB2312"/>
          <w:sz w:val="24"/>
        </w:rPr>
        <w:t>自“信托设立日”（含该日）至“法定到期日”止（不含该日）。“法定到期日”并不是</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的实际到期日，“次级资产支持证券</w:t>
      </w:r>
      <w:r>
        <w:rPr>
          <w:rFonts w:eastAsia="楷体_GB2312"/>
          <w:bCs/>
          <w:sz w:val="24"/>
        </w:rPr>
        <w:t>”</w:t>
      </w:r>
      <w:r>
        <w:rPr>
          <w:rFonts w:eastAsia="楷体_GB2312"/>
          <w:sz w:val="24"/>
        </w:rPr>
        <w:t>的本金将可能于“法定到期日”前清偿完毕。</w:t>
      </w:r>
    </w:p>
    <w:p w14:paraId="15F83C3A">
      <w:pPr>
        <w:numPr>
          <w:ilvl w:val="2"/>
          <w:numId w:val="4"/>
        </w:numPr>
        <w:tabs>
          <w:tab w:val="left" w:pos="900"/>
        </w:tabs>
        <w:spacing w:before="156" w:beforeLines="50" w:after="156" w:afterLines="50" w:line="360" w:lineRule="auto"/>
        <w:rPr>
          <w:rFonts w:eastAsia="楷体_GB2312"/>
          <w:w w:val="0"/>
          <w:sz w:val="24"/>
        </w:rPr>
      </w:pPr>
      <w:r>
        <w:rPr>
          <w:rStyle w:val="29"/>
          <w:rFonts w:hint="eastAsia" w:ascii="楷体_GB2312"/>
          <w:bCs/>
        </w:rPr>
        <w:t>法定到期日</w:t>
      </w:r>
      <w:r>
        <w:rPr>
          <w:rStyle w:val="29"/>
          <w:rFonts w:hint="eastAsia" w:ascii="楷体_GB2312"/>
          <w:b/>
          <w:bCs/>
        </w:rPr>
        <w:t>：</w:t>
      </w:r>
      <w:r>
        <w:rPr>
          <w:rFonts w:eastAsia="楷体_GB2312"/>
          <w:bCs/>
          <w:sz w:val="24"/>
        </w:rPr>
        <w:t>【】年【】月【】</w:t>
      </w:r>
      <w:r>
        <w:rPr>
          <w:rFonts w:eastAsia="楷体_GB2312"/>
          <w:sz w:val="24"/>
        </w:rPr>
        <w:t>日</w:t>
      </w:r>
      <w:r>
        <w:rPr>
          <w:rStyle w:val="29"/>
          <w:rFonts w:hint="eastAsia"/>
        </w:rPr>
        <w:t>。</w:t>
      </w:r>
    </w:p>
    <w:p w14:paraId="6F2B36B0">
      <w:pPr>
        <w:numPr>
          <w:ilvl w:val="2"/>
          <w:numId w:val="4"/>
        </w:numPr>
        <w:tabs>
          <w:tab w:val="left" w:pos="900"/>
        </w:tabs>
        <w:spacing w:before="156" w:beforeLines="50" w:after="156" w:afterLines="50" w:line="360" w:lineRule="auto"/>
        <w:rPr>
          <w:rFonts w:eastAsia="楷体_GB2312"/>
          <w:sz w:val="24"/>
        </w:rPr>
      </w:pPr>
      <w:r>
        <w:rPr>
          <w:rFonts w:eastAsia="楷体_GB2312"/>
          <w:b/>
          <w:sz w:val="24"/>
        </w:rPr>
        <w:t>计息期间：</w:t>
      </w:r>
      <w:r>
        <w:rPr>
          <w:rFonts w:eastAsia="楷体_GB2312"/>
          <w:sz w:val="24"/>
        </w:rPr>
        <w:t>一个“计息日”（含该日）到下一个“计息日”（不含该日）的期间。其中，第一个“计息期间”指“信托设立日”（含该日）开始并于【】年【    】月【    】日（不含该日）结束。</w:t>
      </w:r>
    </w:p>
    <w:p w14:paraId="67DDF1ED">
      <w:pPr>
        <w:numPr>
          <w:ilvl w:val="2"/>
          <w:numId w:val="4"/>
        </w:numPr>
        <w:tabs>
          <w:tab w:val="left" w:pos="900"/>
        </w:tabs>
        <w:spacing w:before="156" w:beforeLines="50" w:after="156" w:afterLines="50" w:line="360" w:lineRule="auto"/>
        <w:rPr>
          <w:rFonts w:eastAsia="楷体_GB2312"/>
          <w:sz w:val="24"/>
        </w:rPr>
      </w:pPr>
      <w:r>
        <w:rPr>
          <w:rFonts w:eastAsia="楷体_GB2312"/>
          <w:b/>
          <w:sz w:val="24"/>
        </w:rPr>
        <w:t>期间收益计算方式：</w:t>
      </w:r>
      <w:r>
        <w:rPr>
          <w:rFonts w:eastAsia="楷体_GB2312"/>
          <w:b/>
          <w:i/>
          <w:iCs/>
          <w:color w:val="FF0000"/>
          <w:sz w:val="24"/>
        </w:rPr>
        <w:t>【注</w:t>
      </w:r>
      <w:r>
        <w:rPr>
          <w:rFonts w:hint="eastAsia" w:eastAsia="楷体_GB2312"/>
          <w:b/>
          <w:i/>
          <w:iCs/>
          <w:color w:val="FF0000"/>
          <w:sz w:val="24"/>
        </w:rPr>
        <w:t>：</w:t>
      </w:r>
      <w:r>
        <w:rPr>
          <w:rFonts w:eastAsia="楷体_GB2312"/>
          <w:b/>
          <w:i/>
          <w:iCs/>
          <w:color w:val="FF0000"/>
          <w:sz w:val="24"/>
        </w:rPr>
        <w:t>可结合项目需要补充次级的期间收益计算方式(如需)。】</w:t>
      </w:r>
    </w:p>
    <w:p w14:paraId="4896F1D4">
      <w:pPr>
        <w:numPr>
          <w:ilvl w:val="2"/>
          <w:numId w:val="4"/>
        </w:numPr>
        <w:tabs>
          <w:tab w:val="left" w:pos="900"/>
        </w:tabs>
        <w:spacing w:before="156" w:beforeLines="50" w:after="156" w:afterLines="50" w:line="360" w:lineRule="auto"/>
        <w:rPr>
          <w:rFonts w:eastAsia="楷体_GB2312"/>
          <w:sz w:val="24"/>
        </w:rPr>
      </w:pPr>
      <w:r>
        <w:rPr>
          <w:rFonts w:eastAsia="楷体_GB2312"/>
          <w:b/>
          <w:sz w:val="24"/>
        </w:rPr>
        <w:t>本金和收益支付方式：</w:t>
      </w:r>
      <w:r>
        <w:rPr>
          <w:rFonts w:eastAsia="楷体_GB2312"/>
          <w:sz w:val="24"/>
        </w:rPr>
        <w:t>根据本合同第</w:t>
      </w:r>
      <w:r>
        <w:rPr>
          <w:rFonts w:eastAsia="楷体_GB2312"/>
          <w:sz w:val="24"/>
        </w:rPr>
        <w:fldChar w:fldCharType="begin"/>
      </w:r>
      <w:r>
        <w:rPr>
          <w:rFonts w:eastAsia="楷体_GB2312"/>
          <w:sz w:val="24"/>
        </w:rPr>
        <w:instrText xml:space="preserve"> REF _Ref221735246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条约定的支付顺序进行支付。其中：本金还款金额的计算方式按照本合同约定的“资产支持证券”本金还款金额计算方式（见本合同</w:t>
      </w:r>
      <w:r>
        <w:rPr>
          <w:rFonts w:eastAsia="楷体_GB2312"/>
          <w:b/>
          <w:i/>
          <w:sz w:val="24"/>
        </w:rPr>
        <w:t>附件五</w:t>
      </w:r>
      <w:r>
        <w:rPr>
          <w:rFonts w:eastAsia="楷体_GB2312"/>
          <w:sz w:val="24"/>
        </w:rPr>
        <w:t>）进行。</w:t>
      </w:r>
    </w:p>
    <w:p w14:paraId="61C83EF6">
      <w:pPr>
        <w:numPr>
          <w:ilvl w:val="2"/>
          <w:numId w:val="4"/>
        </w:numPr>
        <w:tabs>
          <w:tab w:val="left" w:pos="900"/>
        </w:tabs>
        <w:spacing w:before="156" w:beforeLines="50" w:after="156" w:afterLines="50" w:line="360" w:lineRule="auto"/>
        <w:rPr>
          <w:rFonts w:eastAsia="楷体_GB2312"/>
          <w:sz w:val="24"/>
        </w:rPr>
      </w:pPr>
      <w:r>
        <w:rPr>
          <w:rFonts w:eastAsia="楷体_GB2312"/>
          <w:b/>
          <w:sz w:val="24"/>
        </w:rPr>
        <w:t>证券形式：</w:t>
      </w:r>
      <w:r>
        <w:rPr>
          <w:rFonts w:eastAsia="楷体_GB2312"/>
          <w:sz w:val="24"/>
        </w:rPr>
        <w:t>采用实名记账方式，由“登记托管机构”统一托管。</w:t>
      </w:r>
    </w:p>
    <w:p w14:paraId="5A244140">
      <w:pPr>
        <w:numPr>
          <w:ilvl w:val="2"/>
          <w:numId w:val="4"/>
        </w:numPr>
        <w:tabs>
          <w:tab w:val="left" w:pos="900"/>
        </w:tabs>
        <w:spacing w:before="156" w:beforeLines="50" w:after="156" w:afterLines="50" w:line="360" w:lineRule="auto"/>
        <w:rPr>
          <w:rFonts w:eastAsia="楷体_GB2312"/>
          <w:sz w:val="24"/>
        </w:rPr>
      </w:pPr>
      <w:r>
        <w:rPr>
          <w:rFonts w:eastAsia="楷体_GB2312"/>
          <w:b/>
          <w:sz w:val="24"/>
        </w:rPr>
        <w:t>税收：</w:t>
      </w:r>
      <w:r>
        <w:rPr>
          <w:rFonts w:eastAsia="楷体_GB2312"/>
          <w:sz w:val="24"/>
        </w:rPr>
        <w:t>有关“次级资产支持证券”本金和收益的所有付款，如须依照适用的“法律”预提或扣除任何税收、规费或任何性质的政府收费，则“受托人”无需就该等预提或扣除支付任何额外的款项。</w:t>
      </w:r>
    </w:p>
    <w:p w14:paraId="3BE824F1">
      <w:pPr>
        <w:numPr>
          <w:ilvl w:val="2"/>
          <w:numId w:val="4"/>
        </w:numPr>
        <w:tabs>
          <w:tab w:val="left" w:pos="900"/>
        </w:tabs>
        <w:spacing w:before="156" w:beforeLines="50" w:after="156" w:afterLines="50" w:line="360" w:lineRule="auto"/>
        <w:rPr>
          <w:rFonts w:eastAsia="楷体_GB2312"/>
          <w:sz w:val="24"/>
        </w:rPr>
      </w:pPr>
      <w:r>
        <w:rPr>
          <w:rFonts w:eastAsia="楷体_GB2312"/>
          <w:b/>
          <w:sz w:val="24"/>
        </w:rPr>
        <w:t>币种：</w:t>
      </w:r>
      <w:r>
        <w:rPr>
          <w:rFonts w:eastAsia="楷体_GB2312"/>
          <w:sz w:val="24"/>
        </w:rPr>
        <w:t>人民币。</w:t>
      </w:r>
    </w:p>
    <w:p w14:paraId="53DE1295">
      <w:pPr>
        <w:numPr>
          <w:ilvl w:val="2"/>
          <w:numId w:val="4"/>
        </w:numPr>
        <w:tabs>
          <w:tab w:val="left" w:pos="900"/>
        </w:tabs>
        <w:spacing w:before="156" w:beforeLines="50" w:after="156" w:afterLines="50" w:line="360" w:lineRule="auto"/>
        <w:rPr>
          <w:rStyle w:val="41"/>
          <w:rFonts w:eastAsia="楷体_GB2312"/>
          <w:color w:val="auto"/>
          <w:sz w:val="24"/>
          <w:u w:val="none"/>
        </w:rPr>
      </w:pPr>
      <w:bookmarkStart w:id="240" w:name="_Ref201565513"/>
      <w:bookmarkStart w:id="241" w:name="_Toc201569409"/>
      <w:r>
        <w:rPr>
          <w:rFonts w:eastAsia="楷体_GB2312"/>
          <w:b/>
          <w:sz w:val="24"/>
        </w:rPr>
        <w:t>信用级别：</w:t>
      </w:r>
      <w:r>
        <w:rPr>
          <w:rFonts w:eastAsia="楷体_GB2312"/>
          <w:bCs/>
          <w:sz w:val="24"/>
        </w:rPr>
        <w:t>“</w:t>
      </w:r>
      <w:r>
        <w:rPr>
          <w:rFonts w:eastAsia="楷体_GB2312"/>
          <w:sz w:val="24"/>
        </w:rPr>
        <w:t>次级资产支持证券</w:t>
      </w:r>
      <w:r>
        <w:rPr>
          <w:rFonts w:eastAsia="楷体_GB2312"/>
          <w:bCs/>
          <w:sz w:val="24"/>
        </w:rPr>
        <w:t>”</w:t>
      </w:r>
      <w:r>
        <w:rPr>
          <w:rFonts w:eastAsia="楷体_GB2312"/>
          <w:sz w:val="24"/>
        </w:rPr>
        <w:t>不作信用评级。</w:t>
      </w:r>
      <w:bookmarkEnd w:id="240"/>
      <w:bookmarkEnd w:id="241"/>
    </w:p>
    <w:p w14:paraId="097BC097">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42" w:name="_Toc195174856"/>
      <w:bookmarkEnd w:id="242"/>
      <w:bookmarkStart w:id="243" w:name="_Toc106417380"/>
      <w:bookmarkEnd w:id="243"/>
      <w:bookmarkStart w:id="244" w:name="_DV_M258"/>
      <w:bookmarkEnd w:id="244"/>
      <w:bookmarkStart w:id="245" w:name="_Toc195174862"/>
      <w:bookmarkEnd w:id="245"/>
      <w:bookmarkStart w:id="246" w:name="_Toc195174847"/>
      <w:bookmarkEnd w:id="246"/>
      <w:bookmarkStart w:id="247" w:name="_Toc195174859"/>
      <w:bookmarkEnd w:id="247"/>
      <w:bookmarkStart w:id="248" w:name="_Toc195174866"/>
      <w:bookmarkEnd w:id="248"/>
      <w:bookmarkStart w:id="249" w:name="_Toc195174851"/>
      <w:bookmarkEnd w:id="249"/>
      <w:bookmarkStart w:id="250" w:name="_Toc195174870"/>
      <w:bookmarkEnd w:id="250"/>
      <w:bookmarkStart w:id="251" w:name="_Toc195174850"/>
      <w:bookmarkEnd w:id="251"/>
      <w:bookmarkStart w:id="252" w:name="_Toc195174848"/>
      <w:bookmarkEnd w:id="252"/>
      <w:bookmarkStart w:id="253" w:name="_DV_M262"/>
      <w:bookmarkEnd w:id="253"/>
      <w:bookmarkStart w:id="254" w:name="_Toc195174874"/>
      <w:bookmarkEnd w:id="254"/>
      <w:bookmarkStart w:id="255" w:name="_Toc195174861"/>
      <w:bookmarkEnd w:id="255"/>
      <w:bookmarkStart w:id="256" w:name="_Toc195174853"/>
      <w:bookmarkEnd w:id="256"/>
      <w:bookmarkStart w:id="257" w:name="_Toc195174846"/>
      <w:bookmarkEnd w:id="257"/>
      <w:bookmarkStart w:id="258" w:name="_DV_M261"/>
      <w:bookmarkEnd w:id="258"/>
      <w:bookmarkStart w:id="259" w:name="_Toc195174863"/>
      <w:bookmarkEnd w:id="259"/>
      <w:bookmarkStart w:id="260" w:name="_Toc195174852"/>
      <w:bookmarkEnd w:id="260"/>
      <w:bookmarkStart w:id="261" w:name="_Toc195174865"/>
      <w:bookmarkEnd w:id="261"/>
      <w:bookmarkStart w:id="262" w:name="_DV_M259"/>
      <w:bookmarkEnd w:id="262"/>
      <w:bookmarkStart w:id="263" w:name="_Toc195174873"/>
      <w:bookmarkEnd w:id="263"/>
      <w:bookmarkStart w:id="264" w:name="_Toc195174860"/>
      <w:bookmarkEnd w:id="264"/>
      <w:bookmarkStart w:id="265" w:name="_Toc195174845"/>
      <w:bookmarkEnd w:id="265"/>
      <w:bookmarkStart w:id="266" w:name="_Toc195174857"/>
      <w:bookmarkEnd w:id="266"/>
      <w:bookmarkStart w:id="267" w:name="_Toc195174872"/>
      <w:bookmarkEnd w:id="267"/>
      <w:bookmarkStart w:id="268" w:name="_Toc195174868"/>
      <w:bookmarkEnd w:id="268"/>
      <w:bookmarkStart w:id="269" w:name="_Toc195174855"/>
      <w:bookmarkEnd w:id="269"/>
      <w:bookmarkStart w:id="270" w:name="_DV_M257"/>
      <w:bookmarkEnd w:id="270"/>
      <w:bookmarkStart w:id="271" w:name="_Toc195174869"/>
      <w:bookmarkEnd w:id="271"/>
      <w:bookmarkStart w:id="272" w:name="_Toc195174854"/>
      <w:bookmarkEnd w:id="272"/>
      <w:bookmarkStart w:id="273" w:name="_DV_M260"/>
      <w:bookmarkEnd w:id="273"/>
      <w:bookmarkStart w:id="274" w:name="_Toc195174849"/>
      <w:bookmarkEnd w:id="274"/>
      <w:bookmarkStart w:id="275" w:name="_Toc195174858"/>
      <w:bookmarkEnd w:id="275"/>
      <w:bookmarkStart w:id="276" w:name="_Toc195174871"/>
      <w:bookmarkEnd w:id="276"/>
      <w:bookmarkStart w:id="277" w:name="_Toc195174867"/>
      <w:bookmarkEnd w:id="277"/>
      <w:bookmarkStart w:id="278" w:name="_Toc195174864"/>
      <w:bookmarkEnd w:id="278"/>
      <w:bookmarkStart w:id="279" w:name="_Toc146989583"/>
      <w:bookmarkEnd w:id="279"/>
      <w:bookmarkStart w:id="280" w:name="_Toc110153441"/>
      <w:bookmarkStart w:id="281" w:name="_Toc111281792"/>
      <w:bookmarkStart w:id="282" w:name="_Toc92612929"/>
      <w:r>
        <w:rPr>
          <w:rFonts w:eastAsia="楷体_GB2312"/>
          <w:b/>
          <w:bCs/>
          <w:sz w:val="24"/>
        </w:rPr>
        <w:t>资产支持证券</w:t>
      </w:r>
      <w:r>
        <w:rPr>
          <w:rFonts w:eastAsia="楷体_GB2312"/>
          <w:b/>
          <w:sz w:val="24"/>
        </w:rPr>
        <w:t>的发行、承销、登记、交易和结算</w:t>
      </w:r>
      <w:bookmarkEnd w:id="280"/>
      <w:bookmarkEnd w:id="281"/>
    </w:p>
    <w:bookmarkEnd w:id="282"/>
    <w:p w14:paraId="6B9807E4">
      <w:pPr>
        <w:numPr>
          <w:ilvl w:val="2"/>
          <w:numId w:val="4"/>
        </w:numPr>
        <w:tabs>
          <w:tab w:val="left" w:pos="900"/>
          <w:tab w:val="left" w:pos="1843"/>
        </w:tabs>
        <w:spacing w:before="156" w:beforeLines="50" w:after="156" w:afterLines="50" w:line="360" w:lineRule="auto"/>
        <w:ind w:left="1701" w:hanging="777"/>
        <w:rPr>
          <w:rFonts w:eastAsia="楷体_GB2312"/>
          <w:b/>
          <w:sz w:val="24"/>
        </w:rPr>
      </w:pPr>
      <w:r>
        <w:rPr>
          <w:rFonts w:eastAsia="楷体_GB2312"/>
          <w:b/>
          <w:bCs/>
          <w:kern w:val="0"/>
          <w:sz w:val="24"/>
        </w:rPr>
        <w:t>资产</w:t>
      </w:r>
      <w:r>
        <w:rPr>
          <w:rFonts w:eastAsia="楷体_GB2312"/>
          <w:b/>
          <w:sz w:val="24"/>
        </w:rPr>
        <w:t>支持</w:t>
      </w:r>
      <w:r>
        <w:rPr>
          <w:rFonts w:eastAsia="楷体_GB2312"/>
          <w:b/>
          <w:bCs/>
          <w:sz w:val="24"/>
        </w:rPr>
        <w:t>证券</w:t>
      </w:r>
      <w:r>
        <w:rPr>
          <w:rFonts w:eastAsia="楷体_GB2312"/>
          <w:b/>
          <w:sz w:val="24"/>
        </w:rPr>
        <w:t>的发行</w:t>
      </w:r>
    </w:p>
    <w:p w14:paraId="4273A805">
      <w:pPr>
        <w:numPr>
          <w:ilvl w:val="0"/>
          <w:numId w:val="17"/>
        </w:numPr>
        <w:spacing w:before="156" w:beforeLines="50" w:after="156" w:afterLines="50" w:line="360" w:lineRule="auto"/>
        <w:ind w:left="2268"/>
        <w:rPr>
          <w:rFonts w:eastAsia="楷体_GB2312"/>
          <w:sz w:val="24"/>
        </w:rPr>
      </w:pPr>
      <w:bookmarkStart w:id="283" w:name="_Hlk507251698"/>
      <w:r>
        <w:rPr>
          <w:rFonts w:eastAsia="楷体_GB2312"/>
          <w:sz w:val="24"/>
        </w:rPr>
        <w:t>“受托人”应负责将向“人民银行”申请向全国银行间债券市场的投资者发行本合同项下“资产支持证券”。</w:t>
      </w:r>
      <w:bookmarkEnd w:id="283"/>
    </w:p>
    <w:p w14:paraId="6A019AC3">
      <w:pPr>
        <w:numPr>
          <w:ilvl w:val="0"/>
          <w:numId w:val="17"/>
        </w:numPr>
        <w:spacing w:before="156" w:beforeLines="50" w:after="156" w:afterLines="50" w:line="360" w:lineRule="auto"/>
        <w:ind w:left="2268"/>
        <w:rPr>
          <w:rFonts w:eastAsia="楷体_GB2312"/>
          <w:sz w:val="24"/>
        </w:rPr>
      </w:pPr>
      <w:r>
        <w:rPr>
          <w:rFonts w:eastAsia="楷体_GB2312"/>
          <w:sz w:val="24"/>
        </w:rPr>
        <w:t>在分别获得</w:t>
      </w:r>
      <w:r>
        <w:rPr>
          <w:rFonts w:eastAsia="楷体_GB2312"/>
          <w:bCs/>
          <w:sz w:val="24"/>
        </w:rPr>
        <w:t>“</w:t>
      </w:r>
      <w:r>
        <w:rPr>
          <w:rFonts w:eastAsia="楷体_GB2312"/>
          <w:sz w:val="24"/>
        </w:rPr>
        <w:t>金融监管总局</w:t>
      </w:r>
      <w:r>
        <w:rPr>
          <w:rFonts w:eastAsia="楷体_GB2312"/>
          <w:bCs/>
          <w:sz w:val="24"/>
        </w:rPr>
        <w:t>”</w:t>
      </w:r>
      <w:r>
        <w:rPr>
          <w:rFonts w:eastAsia="楷体_GB2312"/>
          <w:sz w:val="24"/>
        </w:rPr>
        <w:t>和“人民银行”关于发行本合同项下“资产支持证券”的备案和许可后，在遵守本合同和“中国”“法律”的相关规定前提下，“受托人”以【公开招标/“簿记建档”集中配售的方式】发行本“信托”项下“优先级资产支持证券”和“次级资产支持证券”（“委托人”持有的“资产支持证券”除外）。</w:t>
      </w:r>
    </w:p>
    <w:p w14:paraId="5A9B079A">
      <w:pPr>
        <w:numPr>
          <w:ilvl w:val="0"/>
          <w:numId w:val="17"/>
        </w:numPr>
        <w:spacing w:before="156" w:beforeLines="50" w:after="156" w:afterLines="50" w:line="360" w:lineRule="auto"/>
        <w:ind w:left="2268"/>
        <w:rPr>
          <w:rFonts w:eastAsia="楷体_GB2312"/>
          <w:b/>
          <w:sz w:val="24"/>
        </w:rPr>
      </w:pPr>
      <w:r>
        <w:rPr>
          <w:rFonts w:eastAsia="楷体_GB2312"/>
          <w:sz w:val="24"/>
        </w:rPr>
        <w:t>“委托人”同意对“受托人”发行“资产支持证券”给予积极协助。</w:t>
      </w:r>
    </w:p>
    <w:p w14:paraId="087F73D8">
      <w:pPr>
        <w:numPr>
          <w:ilvl w:val="2"/>
          <w:numId w:val="4"/>
        </w:numPr>
        <w:tabs>
          <w:tab w:val="left" w:pos="900"/>
          <w:tab w:val="left" w:pos="1843"/>
        </w:tabs>
        <w:spacing w:before="156" w:beforeLines="50" w:after="156" w:afterLines="50" w:line="360" w:lineRule="auto"/>
        <w:ind w:left="1701" w:hanging="777"/>
        <w:rPr>
          <w:rFonts w:eastAsia="楷体_GB2312"/>
          <w:b/>
          <w:sz w:val="24"/>
        </w:rPr>
      </w:pPr>
      <w:r>
        <w:rPr>
          <w:rFonts w:eastAsia="楷体_GB2312"/>
          <w:b/>
          <w:sz w:val="24"/>
        </w:rPr>
        <w:t>资产支持</w:t>
      </w:r>
      <w:r>
        <w:rPr>
          <w:rFonts w:eastAsia="楷体_GB2312"/>
          <w:b/>
          <w:bCs/>
          <w:sz w:val="24"/>
        </w:rPr>
        <w:t>证券</w:t>
      </w:r>
      <w:r>
        <w:rPr>
          <w:rFonts w:eastAsia="楷体_GB2312"/>
          <w:b/>
          <w:sz w:val="24"/>
        </w:rPr>
        <w:t>的承销</w:t>
      </w:r>
    </w:p>
    <w:p w14:paraId="1C8BD13B">
      <w:pPr>
        <w:numPr>
          <w:ilvl w:val="0"/>
          <w:numId w:val="18"/>
        </w:numPr>
        <w:spacing w:before="156" w:beforeLines="50" w:after="156" w:afterLines="50" w:line="360" w:lineRule="auto"/>
        <w:ind w:left="2268"/>
        <w:rPr>
          <w:rFonts w:eastAsia="楷体_GB2312"/>
          <w:sz w:val="24"/>
        </w:rPr>
      </w:pPr>
      <w:r>
        <w:rPr>
          <w:rFonts w:eastAsia="楷体_GB2312"/>
          <w:sz w:val="24"/>
        </w:rPr>
        <w:t>“发行人”与“主承销商”、“发起机构”签署“《主承销协议》”，委托“主承销商”安排“资产支持证券”（“发起机构”自持的“资产支持证券”除外）的发行。</w:t>
      </w:r>
    </w:p>
    <w:p w14:paraId="3AE67AE8">
      <w:pPr>
        <w:numPr>
          <w:ilvl w:val="0"/>
          <w:numId w:val="18"/>
        </w:numPr>
        <w:spacing w:before="156" w:beforeLines="50" w:after="156" w:afterLines="50" w:line="360" w:lineRule="auto"/>
        <w:ind w:left="2268"/>
        <w:rPr>
          <w:rFonts w:eastAsia="楷体_GB2312"/>
          <w:sz w:val="24"/>
        </w:rPr>
      </w:pPr>
      <w:r>
        <w:rPr>
          <w:rFonts w:eastAsia="楷体_GB2312"/>
          <w:sz w:val="24"/>
        </w:rPr>
        <w:t>在遵守本合同的前提下，“主承销商”与“承销商”将签署“《承销团协议》”，组建“承销团”对</w:t>
      </w:r>
      <w:r>
        <w:rPr>
          <w:rFonts w:eastAsia="楷体_GB2312"/>
          <w:bCs/>
          <w:sz w:val="24"/>
        </w:rPr>
        <w:t>“</w:t>
      </w:r>
      <w:r>
        <w:rPr>
          <w:rFonts w:eastAsia="楷体_GB2312"/>
          <w:sz w:val="24"/>
        </w:rPr>
        <w:t>资产支持证券”（“发起机构”自持的“资产支持证券”除外）进行销售。</w:t>
      </w:r>
    </w:p>
    <w:p w14:paraId="3705F22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b/>
          <w:bCs/>
          <w:sz w:val="24"/>
        </w:rPr>
        <w:t>资产支持证券</w:t>
      </w:r>
      <w:r>
        <w:rPr>
          <w:rFonts w:eastAsia="楷体_GB2312"/>
          <w:b/>
          <w:sz w:val="24"/>
        </w:rPr>
        <w:t>的登记、托管</w:t>
      </w:r>
    </w:p>
    <w:p w14:paraId="7A274370">
      <w:pPr>
        <w:spacing w:before="156" w:beforeLines="50" w:after="156" w:afterLines="50" w:line="360" w:lineRule="auto"/>
        <w:ind w:left="1701"/>
        <w:rPr>
          <w:rFonts w:eastAsia="楷体_GB2312"/>
          <w:bCs/>
          <w:sz w:val="24"/>
        </w:rPr>
      </w:pPr>
      <w:r>
        <w:rPr>
          <w:rFonts w:eastAsia="楷体_GB2312"/>
          <w:bCs/>
          <w:sz w:val="24"/>
        </w:rPr>
        <w:t>在遵守本合同的前提下，“受托人”应与“登记托管机构”、“支付代理机构”就“资产支持证券”的登记、托管的具体事宜签署相关登记托管、代理兑付服务协议。“资产支持证券”的发行登记服务费由“受托机构”于托管手续完成后【】个“工作日”内指示“资金保管机构”从“信托账户”中支付给“登记托管机构”。发行登记服务费由“信托财产”承担。如“信托财产”中的现金不足以支付“登记托管机构”的发行登记服务费，“受托人”将以固有财产垫付，就垫付的金额，对“信托财产”享有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bCs/>
          <w:sz w:val="24"/>
        </w:rPr>
        <w:t>10</w:t>
      </w:r>
      <w:r>
        <w:rPr>
          <w:rFonts w:eastAsia="楷体_GB2312"/>
          <w:bCs/>
          <w:sz w:val="24"/>
        </w:rPr>
        <w:fldChar w:fldCharType="end"/>
      </w:r>
      <w:r>
        <w:rPr>
          <w:rFonts w:eastAsia="楷体_GB2312"/>
          <w:bCs/>
          <w:sz w:val="24"/>
        </w:rPr>
        <w:t>条约定的支付顺序优先受偿的权利。</w:t>
      </w:r>
    </w:p>
    <w:p w14:paraId="4F532343">
      <w:pPr>
        <w:spacing w:before="156" w:beforeLines="50" w:after="156" w:afterLines="50" w:line="360" w:lineRule="auto"/>
        <w:ind w:left="1701"/>
        <w:rPr>
          <w:rFonts w:eastAsia="楷体_GB2312"/>
          <w:b/>
          <w:bCs/>
          <w:i/>
          <w:color w:val="FF0000"/>
          <w:sz w:val="24"/>
        </w:rPr>
      </w:pPr>
      <w:r>
        <w:rPr>
          <w:rFonts w:eastAsia="楷体_GB2312"/>
          <w:b/>
          <w:bCs/>
          <w:i/>
          <w:color w:val="FF0000"/>
          <w:sz w:val="24"/>
        </w:rPr>
        <w:t>【注：登记托管机构的服务费的承担方式可根据项目实际情况进行调整。】</w:t>
      </w:r>
    </w:p>
    <w:p w14:paraId="437C99AE">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b/>
          <w:bCs/>
          <w:sz w:val="24"/>
        </w:rPr>
        <w:t>资产支持证券</w:t>
      </w:r>
      <w:r>
        <w:rPr>
          <w:rFonts w:eastAsia="楷体_GB2312"/>
          <w:b/>
          <w:sz w:val="24"/>
        </w:rPr>
        <w:t>的交易</w:t>
      </w:r>
    </w:p>
    <w:p w14:paraId="1E2087F9">
      <w:pPr>
        <w:numPr>
          <w:ilvl w:val="0"/>
          <w:numId w:val="19"/>
        </w:numPr>
        <w:spacing w:before="156" w:beforeLines="50" w:after="156" w:afterLines="50" w:line="360" w:lineRule="auto"/>
        <w:ind w:left="2268"/>
        <w:rPr>
          <w:rFonts w:eastAsia="楷体_GB2312"/>
          <w:sz w:val="24"/>
        </w:rPr>
      </w:pPr>
      <w:r>
        <w:rPr>
          <w:rFonts w:eastAsia="楷体_GB2312"/>
          <w:sz w:val="24"/>
        </w:rPr>
        <w:t>“资产支持证券”在银行间债券市场发行结束并经“登记托管机构”登记完毕后，即可依据相关“中国”“法律”的规定在全国银行间债券市场交易流通，但相关“中国”“法律”对“发起机构”自持的“资产支持证券”及“次级资产支持证券”的转让有特殊规定的依其规定。“资产支持证券持有人”应根据相关“中国”“法律”的规定，在全国银行间债券市场进行交易。</w:t>
      </w:r>
    </w:p>
    <w:p w14:paraId="610D142D">
      <w:pPr>
        <w:numPr>
          <w:ilvl w:val="0"/>
          <w:numId w:val="19"/>
        </w:numPr>
        <w:spacing w:before="156" w:beforeLines="50" w:after="156" w:afterLines="50" w:line="360" w:lineRule="auto"/>
        <w:ind w:left="2268"/>
        <w:rPr>
          <w:rFonts w:eastAsia="楷体_GB2312"/>
          <w:sz w:val="24"/>
        </w:rPr>
      </w:pPr>
      <w:r>
        <w:rPr>
          <w:rFonts w:eastAsia="楷体_GB2312"/>
          <w:sz w:val="24"/>
        </w:rPr>
        <w:t>“资产支持证券持有人”享有与其持有“资产支持证券”级别和数额相对应的“信托受益权”份额。“资产支持证券”是其持有人享有“信托”的相应“信托受益权”及承担相应义务的证明。</w:t>
      </w:r>
    </w:p>
    <w:p w14:paraId="4DCBEF71">
      <w:pPr>
        <w:numPr>
          <w:ilvl w:val="0"/>
          <w:numId w:val="19"/>
        </w:numPr>
        <w:spacing w:before="156" w:beforeLines="50" w:after="156" w:afterLines="50" w:line="360" w:lineRule="auto"/>
        <w:ind w:left="2268"/>
        <w:rPr>
          <w:rFonts w:eastAsia="楷体_GB2312"/>
          <w:kern w:val="0"/>
          <w:sz w:val="24"/>
        </w:rPr>
      </w:pPr>
      <w:r>
        <w:rPr>
          <w:rFonts w:eastAsia="楷体_GB2312"/>
          <w:sz w:val="24"/>
        </w:rPr>
        <w:t>“资产支持证券持有人”应按照“人民银行”、“同业拆借中心”和“登记托管机构”制订的托管、交易和结算规则和程</w:t>
      </w:r>
      <w:r>
        <w:rPr>
          <w:rFonts w:eastAsia="楷体_GB2312"/>
          <w:kern w:val="0"/>
          <w:sz w:val="24"/>
        </w:rPr>
        <w:t>序进行转让。</w:t>
      </w:r>
    </w:p>
    <w:p w14:paraId="23ADADE0">
      <w:pPr>
        <w:numPr>
          <w:ilvl w:val="2"/>
          <w:numId w:val="4"/>
        </w:numPr>
        <w:tabs>
          <w:tab w:val="left" w:pos="900"/>
          <w:tab w:val="left" w:pos="1843"/>
        </w:tabs>
        <w:spacing w:before="156" w:beforeLines="50" w:after="156" w:afterLines="50" w:line="360" w:lineRule="auto"/>
        <w:ind w:left="1701" w:hanging="777"/>
        <w:rPr>
          <w:rFonts w:eastAsia="楷体_GB2312"/>
          <w:b/>
          <w:sz w:val="24"/>
        </w:rPr>
      </w:pPr>
      <w:bookmarkStart w:id="284" w:name="_Toc111281793"/>
      <w:r>
        <w:rPr>
          <w:rFonts w:eastAsia="楷体_GB2312"/>
          <w:b/>
          <w:sz w:val="24"/>
        </w:rPr>
        <w:t>资产支持证券的结算</w:t>
      </w:r>
      <w:bookmarkEnd w:id="284"/>
    </w:p>
    <w:p w14:paraId="58F42C76">
      <w:pPr>
        <w:numPr>
          <w:ilvl w:val="0"/>
          <w:numId w:val="20"/>
        </w:numPr>
        <w:spacing w:before="156" w:beforeLines="50" w:after="156" w:afterLines="50" w:line="360" w:lineRule="auto"/>
        <w:ind w:left="2268"/>
        <w:rPr>
          <w:rFonts w:eastAsia="楷体_GB2312"/>
          <w:sz w:val="24"/>
        </w:rPr>
      </w:pPr>
      <w:r>
        <w:rPr>
          <w:rFonts w:eastAsia="楷体_GB2312"/>
          <w:sz w:val="24"/>
        </w:rPr>
        <w:t>“资产支持证券”的结算按照相关“中国”“法律”的规定执行。</w:t>
      </w:r>
    </w:p>
    <w:p w14:paraId="2A5A8CA6">
      <w:pPr>
        <w:numPr>
          <w:ilvl w:val="0"/>
          <w:numId w:val="20"/>
        </w:numPr>
        <w:spacing w:before="156" w:beforeLines="50" w:after="156" w:afterLines="50" w:line="360" w:lineRule="auto"/>
        <w:ind w:left="2268"/>
        <w:rPr>
          <w:rFonts w:eastAsia="楷体_GB2312"/>
          <w:sz w:val="24"/>
        </w:rPr>
      </w:pPr>
      <w:r>
        <w:rPr>
          <w:rFonts w:eastAsia="楷体_GB2312"/>
          <w:sz w:val="24"/>
        </w:rPr>
        <w:t>“资产支持证券持有人”可将“资产支持证券”依法转让、用于清偿债务或以其他合法方式进行移转，并按照相关规定办理相应的变更登记手续。</w:t>
      </w:r>
    </w:p>
    <w:p w14:paraId="6ED297B7">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85" w:name="_Toc111281794"/>
      <w:r>
        <w:rPr>
          <w:rFonts w:eastAsia="楷体_GB2312"/>
          <w:b/>
          <w:bCs/>
          <w:sz w:val="24"/>
        </w:rPr>
        <w:t>资产支持证券</w:t>
      </w:r>
      <w:r>
        <w:rPr>
          <w:rFonts w:eastAsia="楷体_GB2312"/>
          <w:b/>
          <w:sz w:val="24"/>
        </w:rPr>
        <w:t>发行不成功</w:t>
      </w:r>
      <w:bookmarkEnd w:id="285"/>
    </w:p>
    <w:p w14:paraId="20133866">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如果在【“招标日”/“簿记建档日”】，各档“资产支持证券”（“委托人”自持的“资产支持证券”除外）未能全部得到足额认购，则视为“资产支持证券”发行不成功。</w:t>
      </w:r>
    </w:p>
    <w:p w14:paraId="1C6770B5">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在“资产支持证券”发行不成功的情形下，如存在因发行“资产支持证券”而支出的费用，该费用由【】承担。</w:t>
      </w:r>
    </w:p>
    <w:p w14:paraId="475B8674">
      <w:pPr>
        <w:tabs>
          <w:tab w:val="left" w:pos="900"/>
          <w:tab w:val="left" w:pos="1843"/>
        </w:tabs>
        <w:spacing w:before="156" w:beforeLines="50" w:after="156" w:afterLines="50" w:line="360" w:lineRule="auto"/>
        <w:ind w:left="1701"/>
        <w:rPr>
          <w:rFonts w:eastAsia="楷体_GB2312"/>
          <w:b/>
          <w:bCs/>
          <w:i/>
          <w:iCs/>
          <w:color w:val="FF0000"/>
          <w:sz w:val="24"/>
        </w:rPr>
      </w:pPr>
      <w:r>
        <w:rPr>
          <w:rFonts w:eastAsia="楷体_GB2312"/>
          <w:b/>
          <w:bCs/>
          <w:i/>
          <w:iCs/>
          <w:color w:val="FF0000"/>
          <w:sz w:val="24"/>
        </w:rPr>
        <w:t>【注：如项目涉及相关费用的，可根据项目具体情况协商约定费用的承担方式。】</w:t>
      </w:r>
    </w:p>
    <w:p w14:paraId="1D41DA8C">
      <w:pPr>
        <w:numPr>
          <w:ilvl w:val="2"/>
          <w:numId w:val="4"/>
        </w:numPr>
        <w:tabs>
          <w:tab w:val="left" w:pos="900"/>
          <w:tab w:val="left" w:pos="1843"/>
        </w:tabs>
        <w:spacing w:before="156" w:beforeLines="50" w:after="156" w:afterLines="50" w:line="360" w:lineRule="auto"/>
        <w:ind w:left="1701" w:hanging="777"/>
        <w:rPr>
          <w:rFonts w:eastAsia="楷体_GB2312"/>
          <w:sz w:val="24"/>
        </w:rPr>
      </w:pPr>
      <w:bookmarkStart w:id="286" w:name="_Ref112061754"/>
      <w:r>
        <w:rPr>
          <w:rFonts w:eastAsia="楷体_GB2312"/>
          <w:sz w:val="24"/>
        </w:rPr>
        <w:t>“资产支持证券”发行不成功的，“受托人”应不迟于发行结束后的【】个“工作日”向“登记托管机构”提供《发行结果公告》，以便“登记托管机构”据此办理“资产支持证券”注销手续</w:t>
      </w:r>
      <w:bookmarkEnd w:id="286"/>
      <w:r>
        <w:rPr>
          <w:rFonts w:eastAsia="楷体_GB2312"/>
          <w:sz w:val="24"/>
        </w:rPr>
        <w:t>。</w:t>
      </w:r>
    </w:p>
    <w:p w14:paraId="0269EE80">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287" w:name="_Toc146989589"/>
      <w:bookmarkEnd w:id="287"/>
      <w:bookmarkStart w:id="288" w:name="_Toc110153442"/>
      <w:bookmarkStart w:id="289" w:name="_Toc111281795"/>
      <w:r>
        <w:rPr>
          <w:rFonts w:eastAsia="楷体_GB2312"/>
          <w:b/>
          <w:sz w:val="24"/>
        </w:rPr>
        <w:t>资产支持证券持有人名单</w:t>
      </w:r>
      <w:bookmarkEnd w:id="288"/>
      <w:bookmarkEnd w:id="289"/>
      <w:bookmarkStart w:id="290" w:name="_Toc92612930"/>
    </w:p>
    <w:bookmarkEnd w:id="290"/>
    <w:p w14:paraId="34EF5C79">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在“支付日”前【】个“工作日”，由“登记托管机构”登记于资产支持证券持有人名单上的“资产支持证券持有人”为享有当期收益的“资产支持证券持有人”。</w:t>
      </w:r>
    </w:p>
    <w:p w14:paraId="5DBB5BBC">
      <w:pPr>
        <w:numPr>
          <w:ilvl w:val="2"/>
          <w:numId w:val="4"/>
        </w:numPr>
        <w:tabs>
          <w:tab w:val="left" w:pos="900"/>
          <w:tab w:val="left" w:pos="1843"/>
        </w:tabs>
        <w:spacing w:before="156" w:beforeLines="50" w:after="156" w:afterLines="50" w:line="360" w:lineRule="auto"/>
        <w:ind w:left="1701" w:hanging="777"/>
        <w:rPr>
          <w:rFonts w:eastAsia="楷体_GB2312"/>
          <w:sz w:val="24"/>
        </w:rPr>
      </w:pPr>
      <w:r>
        <w:rPr>
          <w:rFonts w:eastAsia="楷体_GB2312"/>
          <w:sz w:val="24"/>
        </w:rPr>
        <w:t>“受托人”应妥善保管“登记托管机构”在“支付日”后【】个“工作日”内向“受托人”出具的《资产支持证券兑付、付息手续完成确认书》（如有）。</w:t>
      </w:r>
    </w:p>
    <w:p w14:paraId="77BB1A9A">
      <w:pPr>
        <w:numPr>
          <w:ilvl w:val="0"/>
          <w:numId w:val="4"/>
        </w:numPr>
        <w:spacing w:before="156" w:beforeLines="50" w:after="156" w:afterLines="50" w:line="360" w:lineRule="auto"/>
        <w:outlineLvl w:val="0"/>
        <w:rPr>
          <w:rFonts w:eastAsia="楷体_GB2312"/>
          <w:b/>
          <w:sz w:val="24"/>
        </w:rPr>
      </w:pPr>
      <w:bookmarkStart w:id="291" w:name="_Toc402883939"/>
      <w:bookmarkStart w:id="292" w:name="_Toc221382852"/>
      <w:bookmarkStart w:id="293" w:name="_Ref150588804"/>
      <w:bookmarkStart w:id="294" w:name="_Ref150547317"/>
      <w:r>
        <w:rPr>
          <w:rFonts w:eastAsia="楷体_GB2312"/>
          <w:b/>
          <w:sz w:val="24"/>
        </w:rPr>
        <w:t>信托账户</w:t>
      </w:r>
      <w:bookmarkEnd w:id="291"/>
      <w:bookmarkEnd w:id="292"/>
    </w:p>
    <w:p w14:paraId="5FF887F2">
      <w:pPr>
        <w:numPr>
          <w:ilvl w:val="1"/>
          <w:numId w:val="4"/>
        </w:numPr>
        <w:tabs>
          <w:tab w:val="left" w:pos="992"/>
        </w:tabs>
        <w:spacing w:before="156" w:beforeLines="50" w:after="156" w:afterLines="50" w:line="360" w:lineRule="auto"/>
        <w:ind w:left="879" w:hanging="454"/>
        <w:rPr>
          <w:rFonts w:eastAsia="楷体_GB2312"/>
          <w:b/>
          <w:sz w:val="24"/>
        </w:rPr>
      </w:pPr>
      <w:r>
        <w:rPr>
          <w:rFonts w:eastAsia="楷体_GB2312"/>
          <w:sz w:val="24"/>
        </w:rPr>
        <w:t>在“信托生效日”当日或之前，“受托人”应根据“《资金保管合同》”的约定以“【受托机构全称】”名称在“资金保管机构”开立独立人民币信托专用账户（“信托账户”）。</w:t>
      </w:r>
    </w:p>
    <w:p w14:paraId="5C842E72">
      <w:pPr>
        <w:numPr>
          <w:ilvl w:val="1"/>
          <w:numId w:val="4"/>
        </w:numPr>
        <w:tabs>
          <w:tab w:val="left" w:pos="992"/>
        </w:tabs>
        <w:spacing w:before="156" w:beforeLines="50" w:after="156" w:afterLines="50" w:line="360" w:lineRule="auto"/>
        <w:ind w:left="879" w:hanging="454"/>
        <w:rPr>
          <w:rFonts w:eastAsia="楷体_GB2312"/>
          <w:b/>
          <w:sz w:val="24"/>
        </w:rPr>
      </w:pPr>
      <w:bookmarkStart w:id="295" w:name="_Hlk507251744"/>
      <w:r>
        <w:rPr>
          <w:rFonts w:eastAsia="楷体_GB2312"/>
          <w:sz w:val="24"/>
        </w:rPr>
        <w:t>根据“《资金保管合同》”解任“资金保管机构”后，“资产支持证券持有人大会”应任命“替代资金保管机构”。“替代资金保管机构”应是符合以下条件的商业银行：(1)“【评级机构1简称】”对其的主体长期信用等级</w:t>
      </w:r>
      <w:r>
        <w:rPr>
          <w:rFonts w:eastAsia="楷体_GB2312"/>
          <w:kern w:val="0"/>
          <w:sz w:val="24"/>
        </w:rPr>
        <w:t>高于【</w:t>
      </w:r>
      <w:r>
        <w:rPr>
          <w:rFonts w:eastAsia="楷体_GB2312"/>
          <w:sz w:val="24"/>
        </w:rPr>
        <w:t>】</w:t>
      </w:r>
      <w:r>
        <w:rPr>
          <w:rFonts w:eastAsia="楷体_GB2312"/>
          <w:kern w:val="0"/>
          <w:sz w:val="24"/>
        </w:rPr>
        <w:t>且</w:t>
      </w:r>
      <w:r>
        <w:rPr>
          <w:rFonts w:eastAsia="楷体_GB2312"/>
          <w:sz w:val="24"/>
        </w:rPr>
        <w:t>“【评级机构2简称】”对其主体长期信用等级高于【】；(2)愿意按照“《资金保管合同》”的条款担任“资金保管机构”且具备资金保管机构业务资格。“受托人”应于实际可行时尽快且最晚于任命“替代资金保管机构”后的【】个“工作日”内将原“信托账户”内的存款转入在“替代资金保管机构”新开立的“信托账户”。</w:t>
      </w:r>
      <w:bookmarkEnd w:id="295"/>
    </w:p>
    <w:p w14:paraId="55F6BBF5">
      <w:pPr>
        <w:numPr>
          <w:ilvl w:val="0"/>
          <w:numId w:val="4"/>
        </w:numPr>
        <w:spacing w:before="156" w:beforeLines="50" w:after="156" w:afterLines="50" w:line="360" w:lineRule="auto"/>
        <w:outlineLvl w:val="0"/>
        <w:rPr>
          <w:rFonts w:eastAsia="楷体_GB2312"/>
          <w:b/>
          <w:sz w:val="24"/>
        </w:rPr>
      </w:pPr>
      <w:bookmarkStart w:id="296" w:name="_Toc402883940"/>
      <w:bookmarkStart w:id="297" w:name="_Toc221382853"/>
      <w:r>
        <w:rPr>
          <w:rFonts w:eastAsia="楷体_GB2312"/>
          <w:b/>
          <w:sz w:val="24"/>
        </w:rPr>
        <w:t>回收款的转付与分配</w:t>
      </w:r>
      <w:bookmarkEnd w:id="296"/>
      <w:bookmarkEnd w:id="297"/>
    </w:p>
    <w:p w14:paraId="75957919">
      <w:pPr>
        <w:tabs>
          <w:tab w:val="left" w:pos="992"/>
        </w:tabs>
        <w:spacing w:before="156" w:beforeLines="50" w:after="156" w:afterLines="50" w:line="360" w:lineRule="auto"/>
        <w:ind w:left="-451" w:leftChars="-215" w:firstLine="451"/>
        <w:rPr>
          <w:rFonts w:eastAsia="楷体_GB2312"/>
          <w:b/>
          <w:bCs/>
          <w:i/>
          <w:iCs/>
          <w:color w:val="FF0000"/>
          <w:sz w:val="24"/>
        </w:rPr>
      </w:pPr>
      <w:r>
        <w:rPr>
          <w:rFonts w:eastAsia="楷体_GB2312"/>
          <w:b/>
          <w:bCs/>
          <w:i/>
          <w:iCs/>
          <w:color w:val="FF0000"/>
          <w:sz w:val="24"/>
        </w:rPr>
        <w:t>【注：处置费用的具体转付顺序和收取方式可根据项目的实际情况确定和调整。】</w:t>
      </w:r>
    </w:p>
    <w:p w14:paraId="02539EC9">
      <w:pPr>
        <w:numPr>
          <w:ilvl w:val="1"/>
          <w:numId w:val="4"/>
        </w:numPr>
        <w:tabs>
          <w:tab w:val="left" w:pos="992"/>
        </w:tabs>
        <w:spacing w:before="156" w:beforeLines="50" w:after="156" w:afterLines="50" w:line="360" w:lineRule="auto"/>
        <w:ind w:left="879" w:hanging="454"/>
        <w:rPr>
          <w:rFonts w:eastAsia="楷体_GB2312"/>
          <w:sz w:val="24"/>
        </w:rPr>
      </w:pPr>
      <w:r>
        <w:rPr>
          <w:rFonts w:eastAsia="楷体_GB2312"/>
          <w:sz w:val="24"/>
        </w:rPr>
        <w:t>“受托人”应授权并要求“贷款服务机构”按照“《服务合同》”的相关约定，于每个“回收款转付日”将前一“回收款转付期间”收到的全部“回收款”存入“信托账户”。在每个“回收款转付日”“贷款服务机构”转付“回收款”以前，“回收款”在“贷款服务机构”的账户中不产生任何利息。</w:t>
      </w:r>
    </w:p>
    <w:p w14:paraId="5CFF2B4E">
      <w:pPr>
        <w:numPr>
          <w:ilvl w:val="1"/>
          <w:numId w:val="4"/>
        </w:numPr>
        <w:tabs>
          <w:tab w:val="left" w:pos="992"/>
        </w:tabs>
        <w:spacing w:before="156" w:beforeLines="50" w:after="156" w:afterLines="50" w:line="360" w:lineRule="auto"/>
        <w:ind w:left="879" w:hanging="454"/>
        <w:rPr>
          <w:rFonts w:eastAsia="楷体_GB2312"/>
          <w:sz w:val="24"/>
        </w:rPr>
      </w:pPr>
      <w:bookmarkStart w:id="298" w:name="_Hlk507251783"/>
      <w:r>
        <w:rPr>
          <w:rFonts w:eastAsia="楷体_GB2312"/>
          <w:sz w:val="24"/>
        </w:rPr>
        <w:t>在每一个“回收款转付日”下午【】点前，“贷款服务机构”应根据“《服务合同》”的相关约定将扣除“执行费用”后的前一个“回收款转付期间”的所有“回收款”转入“信托账户”。</w:t>
      </w:r>
      <w:bookmarkEnd w:id="298"/>
    </w:p>
    <w:p w14:paraId="442D4893">
      <w:pPr>
        <w:numPr>
          <w:ilvl w:val="1"/>
          <w:numId w:val="4"/>
        </w:numPr>
        <w:tabs>
          <w:tab w:val="left" w:pos="992"/>
        </w:tabs>
        <w:spacing w:before="156" w:beforeLines="50" w:after="156" w:afterLines="50" w:line="360" w:lineRule="auto"/>
        <w:ind w:left="879" w:hanging="454"/>
        <w:rPr>
          <w:rFonts w:eastAsia="楷体_GB2312"/>
          <w:sz w:val="24"/>
        </w:rPr>
      </w:pPr>
      <w:r>
        <w:rPr>
          <w:rFonts w:eastAsia="楷体_GB2312"/>
          <w:sz w:val="24"/>
        </w:rPr>
        <w:t>“资产支持证券持有人”均有权按照本合同第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条的约定就其享有的“信托受益权”取得“信托账户”余额的分配。</w:t>
      </w:r>
    </w:p>
    <w:p w14:paraId="1845F5D6">
      <w:pPr>
        <w:numPr>
          <w:ilvl w:val="1"/>
          <w:numId w:val="4"/>
        </w:numPr>
        <w:tabs>
          <w:tab w:val="left" w:pos="992"/>
        </w:tabs>
        <w:spacing w:before="156" w:beforeLines="50" w:after="156" w:afterLines="50" w:line="360" w:lineRule="auto"/>
        <w:ind w:left="879" w:hanging="454"/>
        <w:rPr>
          <w:rFonts w:eastAsia="楷体_GB2312"/>
          <w:sz w:val="24"/>
        </w:rPr>
      </w:pPr>
      <w:r>
        <w:rPr>
          <w:rFonts w:eastAsia="楷体_GB2312"/>
          <w:sz w:val="24"/>
        </w:rPr>
        <w:t>“优先级资产支持证券”的本金和利息在“信托终止日”之前全部清偿完毕的，所有“回收款”仍应按照本合同第</w:t>
      </w:r>
      <w:r>
        <w:rPr>
          <w:rFonts w:eastAsia="楷体_GB2312"/>
          <w:sz w:val="24"/>
        </w:rPr>
        <w:fldChar w:fldCharType="begin"/>
      </w:r>
      <w:r>
        <w:rPr>
          <w:rFonts w:eastAsia="楷体_GB2312"/>
          <w:sz w:val="24"/>
        </w:rPr>
        <w:instrText xml:space="preserve"> REF _Ref169088858 \r \h  \* MERGEFORMAT </w:instrText>
      </w:r>
      <w:r>
        <w:rPr>
          <w:rFonts w:eastAsia="楷体_GB2312"/>
          <w:sz w:val="24"/>
        </w:rPr>
        <w:fldChar w:fldCharType="separate"/>
      </w:r>
      <w:r>
        <w:rPr>
          <w:rFonts w:eastAsia="楷体_GB2312"/>
          <w:sz w:val="24"/>
        </w:rPr>
        <w:t>10.4</w:t>
      </w:r>
      <w:r>
        <w:rPr>
          <w:rFonts w:eastAsia="楷体_GB2312"/>
          <w:sz w:val="24"/>
        </w:rPr>
        <w:fldChar w:fldCharType="end"/>
      </w:r>
      <w:r>
        <w:rPr>
          <w:rFonts w:eastAsia="楷体_GB2312"/>
          <w:sz w:val="24"/>
        </w:rPr>
        <w:t>款或第</w:t>
      </w:r>
      <w:r>
        <w:rPr>
          <w:rFonts w:eastAsia="楷体_GB2312"/>
          <w:sz w:val="24"/>
        </w:rPr>
        <w:fldChar w:fldCharType="begin"/>
      </w:r>
      <w:r>
        <w:rPr>
          <w:rFonts w:eastAsia="楷体_GB2312"/>
          <w:sz w:val="24"/>
        </w:rPr>
        <w:instrText xml:space="preserve"> REF _Ref173768326 \r \h  \* MERGEFORMAT </w:instrText>
      </w:r>
      <w:r>
        <w:rPr>
          <w:rFonts w:eastAsia="楷体_GB2312"/>
          <w:sz w:val="24"/>
        </w:rPr>
        <w:fldChar w:fldCharType="separate"/>
      </w:r>
      <w:r>
        <w:rPr>
          <w:rFonts w:eastAsia="楷体_GB2312"/>
          <w:sz w:val="24"/>
        </w:rPr>
        <w:t>10.5</w:t>
      </w:r>
      <w:r>
        <w:rPr>
          <w:rFonts w:eastAsia="楷体_GB2312"/>
          <w:sz w:val="24"/>
        </w:rPr>
        <w:fldChar w:fldCharType="end"/>
      </w:r>
      <w:r>
        <w:rPr>
          <w:rFonts w:eastAsia="楷体_GB2312"/>
          <w:sz w:val="24"/>
        </w:rPr>
        <w:t>款约定的顺序进行支付。</w:t>
      </w:r>
    </w:p>
    <w:p w14:paraId="4EF4E2B1">
      <w:pPr>
        <w:numPr>
          <w:ilvl w:val="0"/>
          <w:numId w:val="4"/>
        </w:numPr>
        <w:spacing w:before="156" w:beforeLines="50" w:after="156" w:afterLines="50" w:line="360" w:lineRule="auto"/>
        <w:outlineLvl w:val="0"/>
        <w:rPr>
          <w:rFonts w:eastAsia="楷体_GB2312"/>
          <w:b/>
          <w:sz w:val="24"/>
        </w:rPr>
      </w:pPr>
      <w:bookmarkStart w:id="299" w:name="_Toc221382854"/>
      <w:bookmarkStart w:id="300" w:name="_Ref221735225"/>
      <w:bookmarkStart w:id="301" w:name="_Ref221735246"/>
      <w:bookmarkStart w:id="302" w:name="_Ref221735199"/>
      <w:bookmarkStart w:id="303" w:name="_Ref169088813"/>
      <w:bookmarkStart w:id="304" w:name="_Ref221528828"/>
      <w:bookmarkStart w:id="305" w:name="_Ref221734941"/>
      <w:bookmarkStart w:id="306" w:name="_Toc402883941"/>
      <w:r>
        <w:rPr>
          <w:rFonts w:eastAsia="楷体_GB2312"/>
          <w:b/>
          <w:sz w:val="24"/>
        </w:rPr>
        <w:t>信托账</w:t>
      </w:r>
      <w:bookmarkEnd w:id="293"/>
      <w:bookmarkEnd w:id="294"/>
      <w:bookmarkEnd w:id="299"/>
      <w:bookmarkEnd w:id="300"/>
      <w:bookmarkEnd w:id="301"/>
      <w:bookmarkEnd w:id="302"/>
      <w:bookmarkEnd w:id="303"/>
      <w:bookmarkEnd w:id="304"/>
      <w:bookmarkEnd w:id="305"/>
      <w:bookmarkEnd w:id="306"/>
    </w:p>
    <w:p w14:paraId="23A972E0">
      <w:pPr>
        <w:numPr>
          <w:ilvl w:val="1"/>
          <w:numId w:val="4"/>
        </w:numPr>
        <w:tabs>
          <w:tab w:val="left" w:pos="992"/>
        </w:tabs>
        <w:spacing w:before="156" w:beforeLines="50" w:after="156" w:afterLines="50" w:line="360" w:lineRule="auto"/>
        <w:ind w:left="879" w:hanging="454"/>
        <w:outlineLvl w:val="1"/>
        <w:rPr>
          <w:rFonts w:eastAsia="楷体_GB2312"/>
          <w:b/>
          <w:bCs/>
          <w:sz w:val="24"/>
        </w:rPr>
      </w:pPr>
      <w:bookmarkStart w:id="307" w:name="_Toc120280684"/>
      <w:r>
        <w:rPr>
          <w:rFonts w:eastAsia="楷体_GB2312"/>
          <w:b/>
          <w:bCs/>
          <w:sz w:val="24"/>
        </w:rPr>
        <w:t>信托账的设立</w:t>
      </w:r>
      <w:bookmarkEnd w:id="307"/>
      <w:r>
        <w:rPr>
          <w:rFonts w:eastAsia="楷体_GB2312"/>
          <w:b/>
          <w:bCs/>
          <w:sz w:val="24"/>
        </w:rPr>
        <w:t>及其项下资金的结息</w:t>
      </w:r>
    </w:p>
    <w:p w14:paraId="36A8B54C">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sz w:val="24"/>
        </w:rPr>
        <w:t>在“信托”生效后，“受托人”将设立“信托账”，用以记录“信托财产收益”的收支情况，并在“信托账”下设立子账，即“收益账”、“本金账”、“税收专用账”、“信托（服务转移和通知）储备账户”和“信托（流动性）储备账户”。</w:t>
      </w:r>
    </w:p>
    <w:p w14:paraId="013FE7C0">
      <w:pPr>
        <w:spacing w:before="156" w:beforeLines="50" w:after="156" w:afterLines="50" w:line="360" w:lineRule="auto"/>
        <w:ind w:left="1843"/>
        <w:rPr>
          <w:rFonts w:eastAsia="楷体_GB2312"/>
          <w:b/>
          <w:i/>
          <w:color w:val="FF0000"/>
          <w:sz w:val="24"/>
        </w:rPr>
      </w:pPr>
      <w:r>
        <w:rPr>
          <w:rFonts w:eastAsia="楷体_GB2312"/>
          <w:b/>
          <w:i/>
          <w:color w:val="FF0000"/>
          <w:sz w:val="24"/>
        </w:rPr>
        <w:t>【注：一般而言，收益账、本金账以及税收专用账为基本账户设置安排，针对每个项目可根据项目情况增设储备账户，比如信托（服务转移和通知）储备账户、信托（流动性）储备账户等。】</w:t>
      </w:r>
    </w:p>
    <w:p w14:paraId="0BAA5AA3">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sz w:val="24"/>
        </w:rPr>
        <w:t>“信托账户”内的资金所产生的利息由“资金保管机构”根据“《资金保管合同》”的约定于每个“结息日”予以结息，并于“结息日”后的第一个“工作日”直接转入“收益账”。</w:t>
      </w:r>
    </w:p>
    <w:p w14:paraId="2163E74D">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08" w:name="_Toc150895712"/>
      <w:bookmarkEnd w:id="308"/>
      <w:r>
        <w:rPr>
          <w:rFonts w:eastAsia="楷体_GB2312"/>
          <w:b/>
          <w:sz w:val="24"/>
        </w:rPr>
        <w:t>信托账下资金收入来源</w:t>
      </w:r>
    </w:p>
    <w:p w14:paraId="10AD29EA">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b/>
          <w:sz w:val="24"/>
        </w:rPr>
        <w:t>收益账项下资金来源</w:t>
      </w:r>
    </w:p>
    <w:p w14:paraId="5E2DA2ED">
      <w:pPr>
        <w:spacing w:before="156" w:beforeLines="50" w:after="156" w:afterLines="50" w:line="360" w:lineRule="auto"/>
        <w:ind w:left="1843"/>
        <w:rPr>
          <w:rFonts w:eastAsia="楷体_GB2312"/>
          <w:b/>
          <w:sz w:val="24"/>
        </w:rPr>
      </w:pPr>
      <w:r>
        <w:rPr>
          <w:rFonts w:eastAsia="楷体_GB2312"/>
          <w:sz w:val="24"/>
        </w:rPr>
        <w:t>“收益账”项下资金来源：</w:t>
      </w:r>
      <w:r>
        <w:rPr>
          <w:rFonts w:eastAsia="楷体_GB2312"/>
          <w:bCs/>
          <w:sz w:val="24"/>
        </w:rPr>
        <w:t>(a)</w:t>
      </w:r>
      <w:r>
        <w:rPr>
          <w:rFonts w:eastAsia="楷体_GB2312"/>
          <w:sz w:val="24"/>
        </w:rPr>
        <w:t>“收入回收款”；(b)按照本合同第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款第(1)项的约定由“本金账”转入的资金；(c)按照本合同第</w:t>
      </w:r>
      <w:r>
        <w:rPr>
          <w:rFonts w:eastAsia="楷体_GB2312"/>
          <w:sz w:val="24"/>
        </w:rPr>
        <w:fldChar w:fldCharType="begin"/>
      </w:r>
      <w:r>
        <w:rPr>
          <w:rFonts w:eastAsia="楷体_GB2312"/>
          <w:sz w:val="24"/>
        </w:rPr>
        <w:instrText xml:space="preserve"> REF _Ref199565386 \r \h  \* MERGEFORMAT </w:instrText>
      </w:r>
      <w:r>
        <w:rPr>
          <w:rFonts w:eastAsia="楷体_GB2312"/>
          <w:sz w:val="24"/>
        </w:rPr>
        <w:fldChar w:fldCharType="separate"/>
      </w:r>
      <w:r>
        <w:rPr>
          <w:rFonts w:eastAsia="楷体_GB2312"/>
          <w:sz w:val="24"/>
        </w:rPr>
        <w:t>10.7.2</w:t>
      </w:r>
      <w:r>
        <w:rPr>
          <w:rFonts w:eastAsia="楷体_GB2312"/>
          <w:sz w:val="24"/>
        </w:rPr>
        <w:fldChar w:fldCharType="end"/>
      </w:r>
      <w:r>
        <w:rPr>
          <w:rFonts w:eastAsia="楷体_GB2312"/>
          <w:sz w:val="24"/>
        </w:rPr>
        <w:t>款的约定从“税收专用账”转入的资金；(d)按照本合同第</w:t>
      </w:r>
      <w:r>
        <w:rPr>
          <w:rFonts w:eastAsia="楷体_GB2312"/>
          <w:sz w:val="24"/>
        </w:rPr>
        <w:fldChar w:fldCharType="begin"/>
      </w:r>
      <w:r>
        <w:rPr>
          <w:rFonts w:eastAsia="楷体_GB2312"/>
          <w:sz w:val="24"/>
        </w:rPr>
        <w:instrText xml:space="preserve"> REF _Ref520849344 \r \h  \* MERGEFORMAT </w:instrText>
      </w:r>
      <w:r>
        <w:rPr>
          <w:rFonts w:eastAsia="楷体_GB2312"/>
          <w:sz w:val="24"/>
        </w:rPr>
        <w:fldChar w:fldCharType="separate"/>
      </w:r>
      <w:r>
        <w:rPr>
          <w:rFonts w:eastAsia="楷体_GB2312"/>
          <w:sz w:val="24"/>
        </w:rPr>
        <w:t>10.8.2</w:t>
      </w:r>
      <w:r>
        <w:rPr>
          <w:rFonts w:eastAsia="楷体_GB2312"/>
          <w:sz w:val="24"/>
        </w:rPr>
        <w:fldChar w:fldCharType="end"/>
      </w:r>
      <w:r>
        <w:rPr>
          <w:rFonts w:eastAsia="楷体_GB2312"/>
          <w:sz w:val="24"/>
        </w:rPr>
        <w:t>款的约定从“信托（流动性）储备账户”转入的资金；以及(e)按照本合同第</w:t>
      </w:r>
      <w:r>
        <w:rPr>
          <w:rFonts w:eastAsia="楷体_GB2312"/>
          <w:sz w:val="24"/>
        </w:rPr>
        <w:fldChar w:fldCharType="begin"/>
      </w:r>
      <w:r>
        <w:rPr>
          <w:rFonts w:eastAsia="楷体_GB2312"/>
          <w:sz w:val="24"/>
        </w:rPr>
        <w:instrText xml:space="preserve"> REF _Ref520848599 \r \h  \* MERGEFORMAT </w:instrText>
      </w:r>
      <w:r>
        <w:rPr>
          <w:rFonts w:eastAsia="楷体_GB2312"/>
          <w:sz w:val="24"/>
        </w:rPr>
        <w:fldChar w:fldCharType="separate"/>
      </w:r>
      <w:r>
        <w:rPr>
          <w:rFonts w:eastAsia="楷体_GB2312"/>
          <w:sz w:val="24"/>
        </w:rPr>
        <w:t>10.9</w:t>
      </w:r>
      <w:r>
        <w:rPr>
          <w:rFonts w:eastAsia="楷体_GB2312"/>
          <w:sz w:val="24"/>
        </w:rPr>
        <w:fldChar w:fldCharType="end"/>
      </w:r>
      <w:r>
        <w:rPr>
          <w:rFonts w:eastAsia="楷体_GB2312"/>
          <w:sz w:val="24"/>
        </w:rPr>
        <w:t>款的约定从“信托（服务转移和通知）”转入的资金。</w:t>
      </w:r>
    </w:p>
    <w:p w14:paraId="17D0470A">
      <w:pPr>
        <w:numPr>
          <w:ilvl w:val="2"/>
          <w:numId w:val="4"/>
        </w:numPr>
        <w:tabs>
          <w:tab w:val="left" w:pos="1843"/>
        </w:tabs>
        <w:spacing w:before="156" w:beforeLines="50" w:after="156" w:afterLines="50" w:line="360" w:lineRule="auto"/>
        <w:ind w:left="1843" w:hanging="850"/>
        <w:rPr>
          <w:rFonts w:eastAsia="楷体_GB2312"/>
          <w:b/>
          <w:sz w:val="24"/>
        </w:rPr>
      </w:pPr>
      <w:bookmarkStart w:id="309" w:name="_Ref110420736"/>
      <w:r>
        <w:rPr>
          <w:rFonts w:eastAsia="楷体_GB2312"/>
          <w:b/>
          <w:sz w:val="24"/>
        </w:rPr>
        <w:t>本金账项下资金来源</w:t>
      </w:r>
    </w:p>
    <w:p w14:paraId="2C41F9D7">
      <w:pPr>
        <w:spacing w:before="156" w:beforeLines="50" w:after="156" w:afterLines="50" w:line="360" w:lineRule="auto"/>
        <w:ind w:left="1843"/>
        <w:rPr>
          <w:rFonts w:eastAsia="楷体_GB2312"/>
          <w:sz w:val="24"/>
        </w:rPr>
      </w:pPr>
      <w:r>
        <w:rPr>
          <w:rFonts w:eastAsia="楷体_GB2312"/>
          <w:sz w:val="24"/>
        </w:rPr>
        <w:t>“本金账”项下资金来源：</w:t>
      </w:r>
      <w:bookmarkEnd w:id="309"/>
      <w:r>
        <w:rPr>
          <w:rFonts w:eastAsia="楷体_GB2312"/>
          <w:sz w:val="24"/>
        </w:rPr>
        <w:t>(a)“本金回收款”；(b)按照本合同第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款第(11)项的约定由“收益账”转入的资金；(c)按照本合同第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款第(12)项的约定由“收益账”转入的资金；以及(d)按照本合同第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款第(14)项的约定由“收益账”转入的资金；(e)按照本合同第</w:t>
      </w:r>
      <w:r>
        <w:rPr>
          <w:rFonts w:eastAsia="楷体_GB2312"/>
          <w:sz w:val="24"/>
        </w:rPr>
        <w:fldChar w:fldCharType="begin"/>
      </w:r>
      <w:r>
        <w:rPr>
          <w:rFonts w:eastAsia="楷体_GB2312"/>
          <w:sz w:val="24"/>
        </w:rPr>
        <w:instrText xml:space="preserve"> REF _Ref520850239 \r \h  \* MERGEFORMAT </w:instrText>
      </w:r>
      <w:r>
        <w:rPr>
          <w:rFonts w:eastAsia="楷体_GB2312"/>
          <w:sz w:val="24"/>
        </w:rPr>
        <w:fldChar w:fldCharType="separate"/>
      </w:r>
      <w:r>
        <w:rPr>
          <w:rFonts w:eastAsia="楷体_GB2312"/>
          <w:sz w:val="24"/>
        </w:rPr>
        <w:t>10.8.1</w:t>
      </w:r>
      <w:r>
        <w:rPr>
          <w:rFonts w:eastAsia="楷体_GB2312"/>
          <w:sz w:val="24"/>
        </w:rPr>
        <w:fldChar w:fldCharType="end"/>
      </w:r>
      <w:r>
        <w:rPr>
          <w:rFonts w:eastAsia="楷体_GB2312"/>
          <w:sz w:val="24"/>
        </w:rPr>
        <w:t>款的约定从“信托（流动性）储备账户”转入的资金；以及(f)按照本合同第</w:t>
      </w:r>
      <w:r>
        <w:rPr>
          <w:rFonts w:eastAsia="楷体_GB2312"/>
          <w:sz w:val="24"/>
        </w:rPr>
        <w:fldChar w:fldCharType="begin"/>
      </w:r>
      <w:r>
        <w:rPr>
          <w:rFonts w:eastAsia="楷体_GB2312"/>
          <w:sz w:val="24"/>
        </w:rPr>
        <w:instrText xml:space="preserve"> REF _Ref520848599 \r \h  \* MERGEFORMAT </w:instrText>
      </w:r>
      <w:r>
        <w:rPr>
          <w:rFonts w:eastAsia="楷体_GB2312"/>
          <w:sz w:val="24"/>
        </w:rPr>
        <w:fldChar w:fldCharType="separate"/>
      </w:r>
      <w:r>
        <w:rPr>
          <w:rFonts w:eastAsia="楷体_GB2312"/>
          <w:sz w:val="24"/>
        </w:rPr>
        <w:t>10.9</w:t>
      </w:r>
      <w:r>
        <w:rPr>
          <w:rFonts w:eastAsia="楷体_GB2312"/>
          <w:sz w:val="24"/>
        </w:rPr>
        <w:fldChar w:fldCharType="end"/>
      </w:r>
      <w:r>
        <w:rPr>
          <w:rFonts w:eastAsia="楷体_GB2312"/>
          <w:sz w:val="24"/>
        </w:rPr>
        <w:t>款的约定从“信托（服务转移和通知）”转入的资金。</w:t>
      </w:r>
    </w:p>
    <w:p w14:paraId="7A1A7136">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b/>
          <w:sz w:val="24"/>
        </w:rPr>
        <w:t>税收专用账项下资金的来源</w:t>
      </w:r>
    </w:p>
    <w:p w14:paraId="63762917">
      <w:pPr>
        <w:spacing w:before="156" w:beforeLines="50" w:after="156" w:afterLines="50" w:line="360" w:lineRule="auto"/>
        <w:ind w:left="1843"/>
        <w:rPr>
          <w:rFonts w:eastAsia="楷体_GB2312"/>
          <w:sz w:val="24"/>
        </w:rPr>
      </w:pPr>
      <w:r>
        <w:rPr>
          <w:rFonts w:eastAsia="楷体_GB2312"/>
          <w:sz w:val="24"/>
        </w:rPr>
        <w:t>“税收专用账”项下资金的来源为：(a)按照本合同第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款第(1)项的约定由“收益账”转入的资金；以及(b)按照本合同第</w:t>
      </w:r>
      <w:r>
        <w:rPr>
          <w:rFonts w:eastAsia="楷体_GB2312"/>
          <w:sz w:val="24"/>
        </w:rPr>
        <w:fldChar w:fldCharType="begin"/>
      </w:r>
      <w:r>
        <w:rPr>
          <w:rFonts w:eastAsia="楷体_GB2312"/>
          <w:sz w:val="24"/>
        </w:rPr>
        <w:instrText xml:space="preserve"> REF _Ref150893330 \r \h  \* MERGEFORMAT </w:instrText>
      </w:r>
      <w:r>
        <w:rPr>
          <w:rFonts w:eastAsia="楷体_GB2312"/>
          <w:sz w:val="24"/>
        </w:rPr>
        <w:fldChar w:fldCharType="separate"/>
      </w:r>
      <w:r>
        <w:rPr>
          <w:rFonts w:eastAsia="楷体_GB2312"/>
          <w:sz w:val="24"/>
        </w:rPr>
        <w:t>10.5.1</w:t>
      </w:r>
      <w:r>
        <w:rPr>
          <w:rFonts w:eastAsia="楷体_GB2312"/>
          <w:sz w:val="24"/>
        </w:rPr>
        <w:fldChar w:fldCharType="end"/>
      </w:r>
      <w:r>
        <w:rPr>
          <w:rFonts w:eastAsia="楷体_GB2312"/>
          <w:sz w:val="24"/>
        </w:rPr>
        <w:t>款的约定转入的资金。</w:t>
      </w:r>
    </w:p>
    <w:p w14:paraId="47133697">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b/>
          <w:sz w:val="24"/>
        </w:rPr>
        <w:t>信托（流动性）储备账户项下资金的来源</w:t>
      </w:r>
    </w:p>
    <w:p w14:paraId="47221386">
      <w:pPr>
        <w:spacing w:before="156" w:beforeLines="50" w:after="156" w:afterLines="50" w:line="360" w:lineRule="auto"/>
        <w:ind w:left="1843"/>
        <w:rPr>
          <w:rFonts w:eastAsia="楷体_GB2312"/>
          <w:sz w:val="24"/>
        </w:rPr>
      </w:pPr>
      <w:r>
        <w:rPr>
          <w:rFonts w:eastAsia="楷体_GB2312"/>
          <w:sz w:val="24"/>
        </w:rPr>
        <w:t>“信托（流动性）储备账户”项下资金的来源为：按照本合同第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款第(10)项的约定由“收益账”转入的资金。</w:t>
      </w:r>
    </w:p>
    <w:p w14:paraId="0153DF43">
      <w:pPr>
        <w:numPr>
          <w:ilvl w:val="2"/>
          <w:numId w:val="4"/>
        </w:numPr>
        <w:tabs>
          <w:tab w:val="left" w:pos="1843"/>
        </w:tabs>
        <w:spacing w:before="156" w:beforeLines="50" w:after="156" w:afterLines="50" w:line="360" w:lineRule="auto"/>
        <w:ind w:left="1843" w:hanging="850"/>
        <w:rPr>
          <w:rFonts w:eastAsia="楷体_GB2312"/>
          <w:b/>
          <w:sz w:val="24"/>
        </w:rPr>
      </w:pPr>
      <w:r>
        <w:rPr>
          <w:rFonts w:eastAsia="楷体_GB2312"/>
          <w:b/>
          <w:sz w:val="24"/>
        </w:rPr>
        <w:t>信托（服务转移和通知）储备账户项下资金的来源</w:t>
      </w:r>
    </w:p>
    <w:p w14:paraId="09A8D02E">
      <w:pPr>
        <w:spacing w:before="156" w:beforeLines="50" w:after="156" w:afterLines="50" w:line="360" w:lineRule="auto"/>
        <w:ind w:left="1843"/>
        <w:rPr>
          <w:rFonts w:eastAsia="楷体_GB2312"/>
          <w:sz w:val="24"/>
        </w:rPr>
      </w:pPr>
      <w:r>
        <w:rPr>
          <w:rFonts w:eastAsia="楷体_GB2312"/>
          <w:sz w:val="24"/>
        </w:rPr>
        <w:t>“信托（服务转移和通知）储备账户”项下资金的来源为：(a)按照本合同第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款第(10)项的约定由“收益账”转入的资金；以及(b)相关费用发生主体按照本合同第</w:t>
      </w:r>
      <w:r>
        <w:rPr>
          <w:rFonts w:eastAsia="楷体_GB2312"/>
          <w:sz w:val="24"/>
        </w:rPr>
        <w:fldChar w:fldCharType="begin"/>
      </w:r>
      <w:r>
        <w:rPr>
          <w:rFonts w:eastAsia="楷体_GB2312"/>
          <w:sz w:val="24"/>
        </w:rPr>
        <w:instrText xml:space="preserve">REF _Ref520850733 \r \h \* MERGEFORMAT </w:instrText>
      </w:r>
      <w:r>
        <w:rPr>
          <w:rFonts w:eastAsia="楷体_GB2312"/>
          <w:sz w:val="24"/>
        </w:rPr>
        <w:fldChar w:fldCharType="separate"/>
      </w:r>
      <w:r>
        <w:rPr>
          <w:rFonts w:eastAsia="楷体_GB2312"/>
          <w:sz w:val="24"/>
        </w:rPr>
        <w:t>10.9.1</w:t>
      </w:r>
      <w:r>
        <w:rPr>
          <w:rFonts w:eastAsia="楷体_GB2312"/>
          <w:sz w:val="24"/>
        </w:rPr>
        <w:fldChar w:fldCharType="end"/>
      </w:r>
      <w:r>
        <w:rPr>
          <w:rFonts w:eastAsia="楷体_GB2312"/>
          <w:sz w:val="24"/>
        </w:rPr>
        <w:t>款退还的资金，也应存入“信托（服务转移和通知）储备账户”。</w:t>
      </w:r>
    </w:p>
    <w:p w14:paraId="2C472917">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10" w:name="_Toc111281799"/>
      <w:bookmarkStart w:id="311" w:name="_Ref110415319"/>
      <w:bookmarkStart w:id="312" w:name="_Toc120280686"/>
      <w:r>
        <w:rPr>
          <w:rFonts w:eastAsia="楷体_GB2312"/>
          <w:b/>
          <w:sz w:val="24"/>
        </w:rPr>
        <w:t>信托账项下资金的</w:t>
      </w:r>
      <w:bookmarkEnd w:id="310"/>
      <w:r>
        <w:rPr>
          <w:rFonts w:eastAsia="楷体_GB2312"/>
          <w:b/>
          <w:sz w:val="24"/>
        </w:rPr>
        <w:t>核算与支付</w:t>
      </w:r>
      <w:bookmarkEnd w:id="311"/>
      <w:bookmarkEnd w:id="312"/>
    </w:p>
    <w:p w14:paraId="4100150F">
      <w:pPr>
        <w:spacing w:before="156" w:beforeLines="50" w:after="156" w:afterLines="50" w:line="360" w:lineRule="auto"/>
        <w:ind w:left="5" w:firstLine="420"/>
        <w:rPr>
          <w:rFonts w:eastAsia="楷体_GB2312"/>
          <w:b/>
          <w:i/>
          <w:color w:val="FF0000"/>
          <w:sz w:val="24"/>
        </w:rPr>
      </w:pPr>
      <w:r>
        <w:rPr>
          <w:rFonts w:eastAsia="楷体_GB2312"/>
          <w:b/>
          <w:i/>
          <w:color w:val="FF0000"/>
          <w:sz w:val="24"/>
        </w:rPr>
        <w:t>【注：信托账项下资金的核算与支付，可根据项目实际情况进行调整细化。】</w:t>
      </w:r>
    </w:p>
    <w:p w14:paraId="3B34BD66">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“受托人”应于每个“信托分配日”核算“信托账户”及各“信托账”项下资金，并按照本合同第</w:t>
      </w:r>
      <w:r>
        <w:rPr>
          <w:rFonts w:eastAsia="楷体_GB2312"/>
          <w:sz w:val="24"/>
        </w:rPr>
        <w:fldChar w:fldCharType="begin"/>
      </w:r>
      <w:r>
        <w:rPr>
          <w:rFonts w:eastAsia="楷体_GB2312"/>
          <w:sz w:val="24"/>
        </w:rPr>
        <w:instrText xml:space="preserve"> REF _Ref180850300 \r \h  \* MERGEFORMAT </w:instrText>
      </w:r>
      <w:r>
        <w:rPr>
          <w:rFonts w:eastAsia="楷体_GB2312"/>
          <w:sz w:val="24"/>
        </w:rPr>
        <w:fldChar w:fldCharType="separate"/>
      </w:r>
      <w:r>
        <w:rPr>
          <w:rFonts w:eastAsia="楷体_GB2312"/>
          <w:sz w:val="24"/>
        </w:rPr>
        <w:t>10.4</w:t>
      </w:r>
      <w:r>
        <w:rPr>
          <w:rFonts w:eastAsia="楷体_GB2312"/>
          <w:sz w:val="24"/>
        </w:rPr>
        <w:fldChar w:fldCharType="end"/>
      </w:r>
      <w:r>
        <w:rPr>
          <w:rFonts w:eastAsia="楷体_GB2312"/>
          <w:sz w:val="24"/>
        </w:rPr>
        <w:t>款至第</w:t>
      </w:r>
      <w:r>
        <w:rPr>
          <w:rFonts w:eastAsia="楷体_GB2312"/>
          <w:sz w:val="24"/>
        </w:rPr>
        <w:fldChar w:fldCharType="begin"/>
      </w:r>
      <w:r>
        <w:rPr>
          <w:rFonts w:eastAsia="楷体_GB2312"/>
          <w:sz w:val="24"/>
        </w:rPr>
        <w:instrText xml:space="preserve"> REF _Ref520848599 \r \h  \* MERGEFORMAT </w:instrText>
      </w:r>
      <w:r>
        <w:rPr>
          <w:rFonts w:eastAsia="楷体_GB2312"/>
          <w:sz w:val="24"/>
        </w:rPr>
        <w:fldChar w:fldCharType="separate"/>
      </w:r>
      <w:r>
        <w:rPr>
          <w:rFonts w:eastAsia="楷体_GB2312"/>
          <w:sz w:val="24"/>
        </w:rPr>
        <w:t>10.9</w:t>
      </w:r>
      <w:r>
        <w:rPr>
          <w:rFonts w:eastAsia="楷体_GB2312"/>
          <w:sz w:val="24"/>
        </w:rPr>
        <w:fldChar w:fldCharType="end"/>
      </w:r>
      <w:r>
        <w:rPr>
          <w:rFonts w:eastAsia="楷体_GB2312"/>
          <w:sz w:val="24"/>
        </w:rPr>
        <w:t>款的约定进行相应的分配或运用。“受托人”应不晚于“受托机构报告日”按照本合同第</w:t>
      </w:r>
      <w:r>
        <w:rPr>
          <w:rFonts w:eastAsia="楷体_GB2312"/>
          <w:sz w:val="24"/>
        </w:rPr>
        <w:fldChar w:fldCharType="begin"/>
      </w:r>
      <w:r>
        <w:rPr>
          <w:rFonts w:eastAsia="楷体_GB2312"/>
          <w:sz w:val="24"/>
        </w:rPr>
        <w:instrText xml:space="preserve"> REF _Ref221251623 \r \h  \* MERGEFORMAT </w:instrText>
      </w:r>
      <w:r>
        <w:rPr>
          <w:rFonts w:eastAsia="楷体_GB2312"/>
          <w:sz w:val="24"/>
        </w:rPr>
        <w:fldChar w:fldCharType="separate"/>
      </w:r>
      <w:r>
        <w:rPr>
          <w:rFonts w:eastAsia="楷体_GB2312"/>
          <w:sz w:val="24"/>
        </w:rPr>
        <w:t>21</w:t>
      </w:r>
      <w:r>
        <w:rPr>
          <w:rFonts w:eastAsia="楷体_GB2312"/>
          <w:sz w:val="24"/>
        </w:rPr>
        <w:fldChar w:fldCharType="end"/>
      </w:r>
      <w:r>
        <w:rPr>
          <w:rFonts w:eastAsia="楷体_GB2312"/>
          <w:sz w:val="24"/>
        </w:rPr>
        <w:t>条的约定公布“受托机构报告”，并不晚于“支付日”前【】个“工作日”前通过“支付代理机构”的债券综合业务平台等线上电子化业务办理平台发送“资产支持证券”付息兑付或收益分配电子化指令；如发生技术故障等应急情形，“受托人”应当按“支付代理机构”的要求办理。</w:t>
      </w:r>
    </w:p>
    <w:p w14:paraId="7152C539">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“受托人”应于每个“支付日”前的第【】个“工作日”【】点前，向“资金保管机构”发送“划款指令”：(a)指令“资金保管机构”不晚于每个“支付日”前【】个“工作日”【</w:t>
      </w:r>
      <w:r>
        <w:rPr>
          <w:rFonts w:eastAsia="楷体_GB2312"/>
          <w:i/>
          <w:iCs/>
          <w:sz w:val="24"/>
        </w:rPr>
        <w:t>具体时点</w:t>
      </w:r>
      <w:r>
        <w:rPr>
          <w:rFonts w:eastAsia="楷体_GB2312"/>
          <w:sz w:val="24"/>
        </w:rPr>
        <w:t>】将“信托账户”中与向“支付代理机构”发送的“资产支持证券”付息兑付或收益分配指令所载明的金额相符的资金划转至“支付代理机构”指定的资金账户，用于兑付“资产支持证券”的本息及收益；(b)指令“资金保管机构”于每个“支付日”（或“中国”“法律”规定、“交易文件”约定的其他日期）将“信托账户”中相应数额的资金划转至指定账户，用于支付“信托财产”应付的税收、费用、报酬。</w:t>
      </w:r>
    </w:p>
    <w:p w14:paraId="0F650D60">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13" w:name="_Ref169088858"/>
      <w:bookmarkStart w:id="314" w:name="_Ref180850300"/>
      <w:bookmarkStart w:id="315" w:name="_Hlk507251814"/>
      <w:r>
        <w:rPr>
          <w:rFonts w:eastAsia="楷体_GB2312"/>
          <w:b/>
          <w:sz w:val="24"/>
        </w:rPr>
        <w:t>违约事件发生前</w:t>
      </w:r>
      <w:bookmarkStart w:id="316" w:name="_Toc120280687"/>
      <w:bookmarkStart w:id="317" w:name="_Ref112317234"/>
      <w:r>
        <w:rPr>
          <w:rFonts w:eastAsia="楷体_GB2312"/>
          <w:b/>
          <w:sz w:val="24"/>
        </w:rPr>
        <w:t>的</w:t>
      </w:r>
      <w:bookmarkEnd w:id="313"/>
      <w:bookmarkEnd w:id="316"/>
      <w:bookmarkEnd w:id="317"/>
      <w:r>
        <w:rPr>
          <w:rFonts w:eastAsia="楷体_GB2312"/>
          <w:b/>
          <w:sz w:val="24"/>
        </w:rPr>
        <w:t>回收款分配</w:t>
      </w:r>
      <w:bookmarkEnd w:id="314"/>
    </w:p>
    <w:p w14:paraId="32BEE47B">
      <w:pPr>
        <w:spacing w:before="156" w:beforeLines="50" w:after="156" w:afterLines="50" w:line="360" w:lineRule="auto"/>
        <w:ind w:left="992"/>
        <w:outlineLvl w:val="1"/>
        <w:rPr>
          <w:rFonts w:eastAsia="楷体_GB2312"/>
          <w:b/>
          <w:i/>
          <w:color w:val="FF0000"/>
          <w:sz w:val="24"/>
        </w:rPr>
      </w:pPr>
      <w:r>
        <w:rPr>
          <w:rFonts w:eastAsia="楷体_GB2312"/>
          <w:b/>
          <w:i/>
          <w:color w:val="FF0000"/>
          <w:sz w:val="24"/>
        </w:rPr>
        <w:t>【注：具体项目的现金流分配顺序待根据实际情况调整。】</w:t>
      </w:r>
    </w:p>
    <w:p w14:paraId="60501CE5">
      <w:pPr>
        <w:numPr>
          <w:ilvl w:val="2"/>
          <w:numId w:val="4"/>
        </w:numPr>
        <w:tabs>
          <w:tab w:val="left" w:pos="1843"/>
        </w:tabs>
        <w:spacing w:before="156" w:beforeLines="50" w:after="156" w:afterLines="50" w:line="360" w:lineRule="auto"/>
        <w:ind w:left="1843" w:hanging="850"/>
        <w:rPr>
          <w:rFonts w:eastAsia="楷体_GB2312"/>
          <w:b/>
          <w:sz w:val="24"/>
        </w:rPr>
      </w:pPr>
      <w:bookmarkStart w:id="318" w:name="_Ref111347209"/>
      <w:bookmarkStart w:id="319" w:name="_Ref221528544"/>
      <w:r>
        <w:rPr>
          <w:rFonts w:eastAsia="楷体_GB2312"/>
          <w:b/>
          <w:bCs/>
          <w:sz w:val="24"/>
        </w:rPr>
        <w:t>违约事件发生</w:t>
      </w:r>
      <w:r>
        <w:rPr>
          <w:rFonts w:eastAsia="楷体_GB2312"/>
          <w:b/>
          <w:sz w:val="24"/>
        </w:rPr>
        <w:t>前，收益账项下资金的</w:t>
      </w:r>
      <w:bookmarkEnd w:id="318"/>
      <w:r>
        <w:rPr>
          <w:rFonts w:eastAsia="楷体_GB2312"/>
          <w:b/>
          <w:sz w:val="24"/>
        </w:rPr>
        <w:t>分配</w:t>
      </w:r>
      <w:bookmarkEnd w:id="319"/>
    </w:p>
    <w:p w14:paraId="7C7171B4">
      <w:pPr>
        <w:tabs>
          <w:tab w:val="left" w:pos="1843"/>
        </w:tabs>
        <w:spacing w:before="156" w:beforeLines="50" w:after="156" w:afterLines="50" w:line="360" w:lineRule="auto"/>
        <w:ind w:left="1843"/>
        <w:rPr>
          <w:rFonts w:eastAsia="楷体_GB2312"/>
          <w:sz w:val="24"/>
        </w:rPr>
      </w:pPr>
      <w:r>
        <w:rPr>
          <w:rFonts w:eastAsia="楷体_GB2312"/>
          <w:sz w:val="24"/>
        </w:rPr>
        <w:t>在“违约事件”发生前的每个“信托分配日”，“受托人”应将前一个“收款期间”内收到的“收入回收款”以及于该“信托分配日”分别按照本合同第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款第(1)项、第</w:t>
      </w:r>
      <w:r>
        <w:rPr>
          <w:rFonts w:eastAsia="楷体_GB2312"/>
          <w:sz w:val="24"/>
        </w:rPr>
        <w:fldChar w:fldCharType="begin"/>
      </w:r>
      <w:r>
        <w:rPr>
          <w:rFonts w:eastAsia="楷体_GB2312"/>
          <w:sz w:val="24"/>
        </w:rPr>
        <w:instrText xml:space="preserve"> REF _Ref518636898 \r \h  \* MERGEFORMAT </w:instrText>
      </w:r>
      <w:r>
        <w:rPr>
          <w:rFonts w:eastAsia="楷体_GB2312"/>
          <w:sz w:val="24"/>
        </w:rPr>
        <w:fldChar w:fldCharType="separate"/>
      </w:r>
      <w:r>
        <w:rPr>
          <w:rFonts w:eastAsia="楷体_GB2312"/>
          <w:sz w:val="24"/>
        </w:rPr>
        <w:t>10.7</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REF _Ref520849344 \r \h \* MERGEFORMAT </w:instrText>
      </w:r>
      <w:r>
        <w:rPr>
          <w:rFonts w:eastAsia="楷体_GB2312"/>
          <w:sz w:val="24"/>
        </w:rPr>
        <w:fldChar w:fldCharType="separate"/>
      </w:r>
      <w:r>
        <w:rPr>
          <w:rFonts w:eastAsia="楷体_GB2312"/>
          <w:sz w:val="24"/>
        </w:rPr>
        <w:t>10.8.2</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 REF _Ref520848599 \r \h  \* MERGEFORMAT </w:instrText>
      </w:r>
      <w:r>
        <w:rPr>
          <w:rFonts w:eastAsia="楷体_GB2312"/>
          <w:sz w:val="24"/>
        </w:rPr>
        <w:fldChar w:fldCharType="separate"/>
      </w:r>
      <w:r>
        <w:rPr>
          <w:rFonts w:eastAsia="楷体_GB2312"/>
          <w:sz w:val="24"/>
        </w:rPr>
        <w:t>10.9</w:t>
      </w:r>
      <w:r>
        <w:rPr>
          <w:rFonts w:eastAsia="楷体_GB2312"/>
          <w:sz w:val="24"/>
        </w:rPr>
        <w:fldChar w:fldCharType="end"/>
      </w:r>
      <w:r>
        <w:rPr>
          <w:rFonts w:eastAsia="楷体_GB2312"/>
          <w:sz w:val="24"/>
        </w:rPr>
        <w:t>款的约定分别从相应的“本金账”、“税收专用账”、“信托（服务转移和通知）储备账户”转入“收益账”的资金的总金额按以下顺序进行分配（如同一顺序的多笔款项不足以同时完全分配的，按各项应受偿金额的比例分配，且除下述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款第(13)项之外，所差金额应按以下顺序在下一期分配）：</w:t>
      </w:r>
    </w:p>
    <w:p w14:paraId="2723F18A">
      <w:pPr>
        <w:numPr>
          <w:ilvl w:val="0"/>
          <w:numId w:val="21"/>
        </w:numPr>
        <w:spacing w:before="156" w:beforeLines="50" w:after="156" w:afterLines="50" w:line="360" w:lineRule="auto"/>
        <w:ind w:left="2268"/>
        <w:rPr>
          <w:rFonts w:eastAsia="楷体_GB2312"/>
          <w:sz w:val="24"/>
        </w:rPr>
      </w:pPr>
      <w:bookmarkStart w:id="320" w:name="_Ref112316473"/>
      <w:bookmarkStart w:id="321" w:name="_Ref111348174"/>
      <w:r>
        <w:rPr>
          <w:rFonts w:eastAsia="楷体_GB2312"/>
          <w:sz w:val="24"/>
        </w:rPr>
        <w:t>依据所适用的“中国”“法律”，由“受托人”缴纳的与“信托”相关的税收和规费（包括但不限于：增值税及附加、所得税）记入“税收专用账”；</w:t>
      </w:r>
      <w:bookmarkEnd w:id="320"/>
    </w:p>
    <w:p w14:paraId="28F60B62">
      <w:pPr>
        <w:numPr>
          <w:ilvl w:val="0"/>
          <w:numId w:val="21"/>
        </w:numPr>
        <w:spacing w:before="156" w:beforeLines="50" w:after="156" w:afterLines="50" w:line="360" w:lineRule="auto"/>
        <w:ind w:left="2268"/>
        <w:rPr>
          <w:rFonts w:eastAsia="楷体_GB2312"/>
          <w:sz w:val="24"/>
        </w:rPr>
      </w:pPr>
      <w:bookmarkStart w:id="322" w:name="_Ref112313513"/>
      <w:bookmarkStart w:id="323" w:name="_Ref150547909"/>
      <w:bookmarkStart w:id="324" w:name="_Ref402964513"/>
      <w:r>
        <w:rPr>
          <w:rFonts w:eastAsia="楷体_GB2312"/>
          <w:sz w:val="24"/>
        </w:rPr>
        <w:t>分配“受托人”按照本合同的约定以固有财产垫付的“登记托管机构”的发行登记服务费（如有）；</w:t>
      </w:r>
    </w:p>
    <w:p w14:paraId="021F76B0">
      <w:pPr>
        <w:numPr>
          <w:ilvl w:val="0"/>
          <w:numId w:val="21"/>
        </w:numPr>
        <w:spacing w:before="156" w:beforeLines="50" w:after="156" w:afterLines="50" w:line="360" w:lineRule="auto"/>
        <w:ind w:left="2268"/>
        <w:rPr>
          <w:rFonts w:eastAsia="楷体_GB2312"/>
          <w:sz w:val="24"/>
        </w:rPr>
      </w:pPr>
      <w:r>
        <w:rPr>
          <w:rFonts w:eastAsia="楷体_GB2312"/>
          <w:sz w:val="24"/>
        </w:rPr>
        <w:t>分配“登记托管机构”/“支付代理机构”的报酬；</w:t>
      </w:r>
      <w:bookmarkEnd w:id="322"/>
    </w:p>
    <w:p w14:paraId="0C18E760">
      <w:pPr>
        <w:numPr>
          <w:ilvl w:val="0"/>
          <w:numId w:val="21"/>
        </w:numPr>
        <w:spacing w:before="156" w:beforeLines="50" w:after="156" w:afterLines="50" w:line="360" w:lineRule="auto"/>
        <w:ind w:left="2268"/>
        <w:rPr>
          <w:rFonts w:eastAsia="楷体_GB2312"/>
          <w:sz w:val="24"/>
        </w:rPr>
      </w:pPr>
      <w:r>
        <w:rPr>
          <w:rFonts w:eastAsia="楷体_GB2312"/>
          <w:sz w:val="24"/>
        </w:rPr>
        <w:t>同顺序分配：(a)“受托人”的报酬；(b)“资金保管机构”的报酬；(c)“评级机构”提供跟踪评级的报酬（如有）；(d)“审计师”的报酬（如有）；(e)“后备贷款服务机构”（如有）的报酬；(f)</w:t>
      </w:r>
      <w:r>
        <w:rPr>
          <w:rFonts w:eastAsia="楷体_GB2312"/>
          <w:color w:val="000000"/>
          <w:sz w:val="24"/>
        </w:rPr>
        <w:t>“受托人”因“清仓回购”而聘请</w:t>
      </w:r>
      <w:r>
        <w:rPr>
          <w:rFonts w:hint="eastAsia" w:eastAsia="楷体_GB2312"/>
          <w:color w:val="000000"/>
          <w:sz w:val="24"/>
        </w:rPr>
        <w:t>第三方专业机构</w:t>
      </w:r>
      <w:r>
        <w:rPr>
          <w:rFonts w:eastAsia="楷体_GB2312"/>
          <w:color w:val="000000"/>
          <w:sz w:val="24"/>
        </w:rPr>
        <w:t>对剩余“资产池”进行评估所发生的费用；(</w:t>
      </w:r>
      <w:r>
        <w:rPr>
          <w:rFonts w:hint="eastAsia" w:eastAsia="楷体_GB2312"/>
          <w:color w:val="000000"/>
          <w:sz w:val="24"/>
        </w:rPr>
        <w:t>g</w:t>
      </w:r>
      <w:r>
        <w:rPr>
          <w:rFonts w:eastAsia="楷体_GB2312"/>
          <w:color w:val="000000"/>
          <w:sz w:val="24"/>
        </w:rPr>
        <w:t>)</w:t>
      </w:r>
      <w:r>
        <w:rPr>
          <w:rFonts w:eastAsia="楷体_GB2312"/>
          <w:sz w:val="24"/>
        </w:rPr>
        <w:t>上述相关主体和“贷款服务机构”各自可报销的不超过“优先支出上限”的“费用支出”；(</w:t>
      </w:r>
      <w:r>
        <w:rPr>
          <w:rFonts w:hint="eastAsia" w:eastAsia="楷体_GB2312"/>
          <w:sz w:val="24"/>
        </w:rPr>
        <w:t>h</w:t>
      </w:r>
      <w:r>
        <w:rPr>
          <w:rFonts w:eastAsia="楷体_GB2312"/>
          <w:sz w:val="24"/>
        </w:rPr>
        <w:t>)“受托人”按照本合同的约定以固有财产垫付的代为发送“权利完善通知”所发生的费用（如有）；</w:t>
      </w:r>
    </w:p>
    <w:p w14:paraId="32711283">
      <w:pPr>
        <w:spacing w:before="156" w:beforeLines="50" w:after="156" w:afterLines="50" w:line="360" w:lineRule="auto"/>
        <w:ind w:left="2268" w:firstLine="140" w:firstLineChars="58"/>
        <w:rPr>
          <w:rFonts w:eastAsia="楷体_GB2312"/>
          <w:color w:val="FF0000"/>
          <w:sz w:val="24"/>
        </w:rPr>
      </w:pPr>
      <w:r>
        <w:rPr>
          <w:rFonts w:eastAsia="楷体_GB2312"/>
          <w:b/>
          <w:i/>
          <w:color w:val="FF0000"/>
          <w:sz w:val="24"/>
        </w:rPr>
        <w:t>【注：由信托财产承担的费用，可根据项目实际情况进行调整。】</w:t>
      </w:r>
    </w:p>
    <w:bookmarkEnd w:id="323"/>
    <w:bookmarkEnd w:id="324"/>
    <w:p w14:paraId="36E004BF">
      <w:pPr>
        <w:numPr>
          <w:ilvl w:val="0"/>
          <w:numId w:val="21"/>
        </w:numPr>
        <w:spacing w:before="156" w:beforeLines="50" w:after="156" w:afterLines="50" w:line="360" w:lineRule="auto"/>
        <w:ind w:left="2268"/>
        <w:rPr>
          <w:rFonts w:eastAsia="楷体_GB2312"/>
          <w:sz w:val="24"/>
        </w:rPr>
      </w:pPr>
      <w:bookmarkStart w:id="325" w:name="_Ref150543248"/>
      <w:r>
        <w:rPr>
          <w:rFonts w:eastAsia="楷体_GB2312"/>
          <w:sz w:val="24"/>
        </w:rPr>
        <w:t>按不超过当期应支付“贷款服务机构”报酬的【】%分配“贷款服务机构”的报酬；</w:t>
      </w:r>
      <w:bookmarkEnd w:id="325"/>
    </w:p>
    <w:p w14:paraId="4B22E3D2">
      <w:pPr>
        <w:numPr>
          <w:ilvl w:val="0"/>
          <w:numId w:val="21"/>
        </w:numPr>
        <w:spacing w:before="156" w:beforeLines="50" w:after="156" w:afterLines="50" w:line="360" w:lineRule="auto"/>
        <w:ind w:left="2268"/>
        <w:rPr>
          <w:rFonts w:eastAsia="楷体_GB2312"/>
          <w:sz w:val="24"/>
        </w:rPr>
      </w:pPr>
      <w:bookmarkStart w:id="326" w:name="_Ref150892631"/>
      <w:r>
        <w:rPr>
          <w:rFonts w:eastAsia="楷体_GB2312"/>
          <w:sz w:val="24"/>
        </w:rPr>
        <w:t>分配该“信托分配日”后第一个“支付日”应支付的“优先A级资产支持证券”的利息；</w:t>
      </w:r>
    </w:p>
    <w:p w14:paraId="148ADBF0">
      <w:pPr>
        <w:numPr>
          <w:ilvl w:val="0"/>
          <w:numId w:val="21"/>
        </w:numPr>
        <w:spacing w:before="156" w:beforeLines="50" w:after="156" w:afterLines="50" w:line="360" w:lineRule="auto"/>
        <w:ind w:left="2268"/>
        <w:rPr>
          <w:rFonts w:eastAsia="楷体_GB2312"/>
          <w:sz w:val="24"/>
        </w:rPr>
      </w:pPr>
      <w:r>
        <w:rPr>
          <w:rFonts w:eastAsia="楷体_GB2312"/>
          <w:sz w:val="24"/>
        </w:rPr>
        <w:t>分配该“信托分配日”后第一个“支付日”应支付的“优先B级资产支持证券”的利息；</w:t>
      </w:r>
    </w:p>
    <w:bookmarkEnd w:id="326"/>
    <w:p w14:paraId="2E244833">
      <w:pPr>
        <w:numPr>
          <w:ilvl w:val="0"/>
          <w:numId w:val="21"/>
        </w:numPr>
        <w:spacing w:before="156" w:beforeLines="50" w:after="156" w:afterLines="50" w:line="360" w:lineRule="auto"/>
        <w:ind w:left="2268"/>
        <w:rPr>
          <w:rFonts w:eastAsia="楷体_GB2312"/>
          <w:sz w:val="24"/>
        </w:rPr>
      </w:pPr>
      <w:bookmarkStart w:id="327" w:name="_Ref177199339"/>
      <w:r>
        <w:rPr>
          <w:rFonts w:eastAsia="楷体_GB2312"/>
          <w:sz w:val="24"/>
        </w:rPr>
        <w:t>分配超过本合同第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款第(5)项限额的“贷款服务机构”报酬；</w:t>
      </w:r>
      <w:bookmarkEnd w:id="327"/>
      <w:bookmarkStart w:id="328" w:name="_Ref169087790"/>
    </w:p>
    <w:p w14:paraId="40F2A757">
      <w:pPr>
        <w:numPr>
          <w:ilvl w:val="0"/>
          <w:numId w:val="21"/>
        </w:numPr>
        <w:spacing w:before="156" w:beforeLines="50" w:after="156" w:afterLines="50" w:line="360" w:lineRule="auto"/>
        <w:ind w:left="2268"/>
        <w:rPr>
          <w:rFonts w:eastAsia="楷体_GB2312"/>
          <w:sz w:val="24"/>
        </w:rPr>
      </w:pPr>
      <w:bookmarkStart w:id="329" w:name="_Ref522820075"/>
      <w:r>
        <w:rPr>
          <w:rFonts w:eastAsia="楷体_GB2312"/>
          <w:sz w:val="24"/>
        </w:rPr>
        <w:t>同顺序分配“受托人”、“贷款服务机构”、“资金保管机构”、“评级机构”、“审计师”（如有）以及“后备贷款服务机构”（如有）各自可报销的超过“优先支出上限”的“费用支出”；</w:t>
      </w:r>
      <w:bookmarkEnd w:id="329"/>
    </w:p>
    <w:p w14:paraId="380A9424">
      <w:pPr>
        <w:numPr>
          <w:ilvl w:val="0"/>
          <w:numId w:val="21"/>
        </w:numPr>
        <w:spacing w:before="156" w:beforeLines="50" w:after="156" w:afterLines="50" w:line="360" w:lineRule="auto"/>
        <w:ind w:left="2268"/>
        <w:rPr>
          <w:rFonts w:eastAsia="楷体_GB2312"/>
          <w:sz w:val="24"/>
        </w:rPr>
      </w:pPr>
      <w:bookmarkStart w:id="330" w:name="_Ref520850464"/>
      <w:r>
        <w:rPr>
          <w:rFonts w:eastAsia="楷体_GB2312"/>
          <w:sz w:val="24"/>
        </w:rPr>
        <w:t>同顺序、按相应比例转入“信托（服务转移和通知）储备账户”和“信托（流动性）储备账户”一定金额，直至“信托（服务转移和通知）储备账户”和“信托（流动性）储备账户”中的金额分别达到“必备（服务转移和通知）储备金额”和“必备（流动性）储备金额”；</w:t>
      </w:r>
      <w:bookmarkEnd w:id="330"/>
    </w:p>
    <w:p w14:paraId="08E1F343">
      <w:pPr>
        <w:numPr>
          <w:ilvl w:val="0"/>
          <w:numId w:val="21"/>
        </w:numPr>
        <w:spacing w:before="156" w:beforeLines="50" w:after="156" w:afterLines="50" w:line="360" w:lineRule="auto"/>
        <w:ind w:left="2268"/>
        <w:rPr>
          <w:rFonts w:eastAsia="楷体_GB2312"/>
          <w:sz w:val="24"/>
        </w:rPr>
      </w:pPr>
      <w:bookmarkStart w:id="331" w:name="_Ref432776648"/>
      <w:r>
        <w:rPr>
          <w:rFonts w:eastAsia="楷体_GB2312"/>
          <w:sz w:val="24"/>
        </w:rPr>
        <w:t>如果发生“加速清偿事件”，将全部余额记入“本金账</w:t>
      </w:r>
      <w:bookmarkEnd w:id="328"/>
      <w:bookmarkEnd w:id="331"/>
      <w:bookmarkStart w:id="332" w:name="_Ref150892643"/>
      <w:r>
        <w:rPr>
          <w:rFonts w:eastAsia="楷体_GB2312"/>
          <w:sz w:val="24"/>
        </w:rPr>
        <w:t>”，如果未发生“加速清偿事件”，则按照以下顺序继续分配；</w:t>
      </w:r>
    </w:p>
    <w:bookmarkEnd w:id="332"/>
    <w:p w14:paraId="5F3DFE12">
      <w:pPr>
        <w:numPr>
          <w:ilvl w:val="0"/>
          <w:numId w:val="21"/>
        </w:numPr>
        <w:spacing w:before="156" w:beforeLines="50" w:after="156" w:afterLines="50" w:line="360" w:lineRule="auto"/>
        <w:ind w:left="2268"/>
        <w:rPr>
          <w:rFonts w:eastAsia="楷体_GB2312"/>
          <w:sz w:val="24"/>
        </w:rPr>
      </w:pPr>
      <w:bookmarkStart w:id="333" w:name="_Ref156556896"/>
      <w:r>
        <w:rPr>
          <w:rFonts w:eastAsia="楷体_GB2312"/>
          <w:sz w:val="24"/>
        </w:rPr>
        <w:t>转入“本金账”如下金额，相当于a+b+c-d：(a)在前一个“收款期间”内成为“违约贷款”的“信贷资产”在成为“违约贷款”时的“未偿本金余额”，(b)在以往“收款期间”内成为“违约贷款”的“信贷资产”在成为“违约贷款”时的“未偿本金余额”，(c)在以往的全部“信托分配日”按照本合同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款第(1)项已从“本金账”转至“收益账”的金额，(d)在以往的全部“信托分配日”按照本条由“收益账”转入“本金账”的金额；</w:t>
      </w:r>
      <w:bookmarkEnd w:id="333"/>
    </w:p>
    <w:p w14:paraId="6848E33C">
      <w:pPr>
        <w:numPr>
          <w:ilvl w:val="0"/>
          <w:numId w:val="21"/>
        </w:numPr>
        <w:spacing w:before="156" w:beforeLines="50" w:after="156" w:afterLines="50" w:line="360" w:lineRule="auto"/>
        <w:ind w:left="2268"/>
        <w:rPr>
          <w:rFonts w:eastAsia="楷体_GB2312"/>
          <w:sz w:val="24"/>
        </w:rPr>
      </w:pPr>
      <w:bookmarkStart w:id="334" w:name="_Ref331775385"/>
      <w:bookmarkStart w:id="335" w:name="_Ref402964790"/>
      <w:bookmarkStart w:id="336" w:name="_Ref150542528"/>
      <w:r>
        <w:rPr>
          <w:rFonts w:eastAsia="楷体_GB2312"/>
          <w:sz w:val="24"/>
        </w:rPr>
        <w:t>如果“优先级资产支持证券”尚未清偿完毕，按不超过【】%/年分配“信托分配日”后第一个“支付日”应支付的“次级资产支持证券”的期间收益；</w:t>
      </w:r>
      <w:bookmarkEnd w:id="334"/>
    </w:p>
    <w:bookmarkEnd w:id="335"/>
    <w:bookmarkEnd w:id="336"/>
    <w:p w14:paraId="4F4267D0">
      <w:pPr>
        <w:numPr>
          <w:ilvl w:val="0"/>
          <w:numId w:val="21"/>
        </w:numPr>
        <w:spacing w:before="156" w:beforeLines="50" w:after="156" w:afterLines="50" w:line="360" w:lineRule="auto"/>
        <w:ind w:left="2268"/>
        <w:rPr>
          <w:rFonts w:eastAsia="楷体_GB2312"/>
          <w:sz w:val="24"/>
        </w:rPr>
      </w:pPr>
      <w:bookmarkStart w:id="337" w:name="_Ref150544060"/>
      <w:r>
        <w:rPr>
          <w:rFonts w:eastAsia="楷体_GB2312"/>
          <w:sz w:val="24"/>
        </w:rPr>
        <w:t>“收益账”项下剩余资金记入“本金账”。</w:t>
      </w:r>
      <w:bookmarkEnd w:id="337"/>
    </w:p>
    <w:bookmarkEnd w:id="321"/>
    <w:p w14:paraId="4195696F">
      <w:pPr>
        <w:numPr>
          <w:ilvl w:val="2"/>
          <w:numId w:val="4"/>
        </w:numPr>
        <w:tabs>
          <w:tab w:val="left" w:pos="1843"/>
        </w:tabs>
        <w:spacing w:before="156" w:beforeLines="50" w:after="156" w:afterLines="50" w:line="360" w:lineRule="auto"/>
        <w:ind w:left="1843" w:hanging="850"/>
        <w:rPr>
          <w:rFonts w:eastAsia="楷体_GB2312"/>
          <w:b/>
          <w:sz w:val="24"/>
        </w:rPr>
      </w:pPr>
      <w:bookmarkStart w:id="338" w:name="_Ref520848039"/>
      <w:r>
        <w:rPr>
          <w:rFonts w:eastAsia="楷体_GB2312"/>
          <w:b/>
          <w:sz w:val="24"/>
        </w:rPr>
        <w:t>违约事件发生前，</w:t>
      </w:r>
      <w:bookmarkStart w:id="339" w:name="_Ref111346654"/>
      <w:r>
        <w:rPr>
          <w:rFonts w:eastAsia="楷体_GB2312"/>
          <w:b/>
          <w:sz w:val="24"/>
        </w:rPr>
        <w:t>本金账项下资金的</w:t>
      </w:r>
      <w:bookmarkEnd w:id="339"/>
      <w:r>
        <w:rPr>
          <w:rFonts w:eastAsia="楷体_GB2312"/>
          <w:b/>
          <w:sz w:val="24"/>
        </w:rPr>
        <w:t>分配</w:t>
      </w:r>
      <w:bookmarkEnd w:id="338"/>
    </w:p>
    <w:p w14:paraId="1BFA9D1F">
      <w:pPr>
        <w:tabs>
          <w:tab w:val="left" w:pos="1843"/>
        </w:tabs>
        <w:spacing w:before="156" w:beforeLines="50" w:after="156" w:afterLines="50" w:line="360" w:lineRule="auto"/>
        <w:ind w:left="1843"/>
        <w:rPr>
          <w:rFonts w:eastAsia="楷体_GB2312"/>
          <w:sz w:val="24"/>
        </w:rPr>
      </w:pPr>
      <w:r>
        <w:rPr>
          <w:rFonts w:eastAsia="楷体_GB2312"/>
          <w:sz w:val="24"/>
        </w:rPr>
        <w:t>在“违约事件”发生前的每个“信托分配日”，“受托人”应将前一个“收款期间”收到的“本金回收款”以及于该“信托分配日”分别按照本合同第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款第(11)项、第(12)项和第(14)项的约定由“收益账”转入以及根据本合同第</w:t>
      </w:r>
      <w:r>
        <w:rPr>
          <w:rFonts w:eastAsia="楷体_GB2312"/>
          <w:sz w:val="24"/>
        </w:rPr>
        <w:fldChar w:fldCharType="begin"/>
      </w:r>
      <w:r>
        <w:rPr>
          <w:rFonts w:eastAsia="楷体_GB2312"/>
          <w:sz w:val="24"/>
        </w:rPr>
        <w:instrText xml:space="preserve">REF _Ref520848965 \r \h \* MERGEFORMAT </w:instrText>
      </w:r>
      <w:r>
        <w:rPr>
          <w:rFonts w:eastAsia="楷体_GB2312"/>
          <w:sz w:val="24"/>
        </w:rPr>
        <w:fldChar w:fldCharType="separate"/>
      </w:r>
      <w:r>
        <w:rPr>
          <w:rFonts w:eastAsia="楷体_GB2312"/>
          <w:sz w:val="24"/>
        </w:rPr>
        <w:t>10.8</w:t>
      </w:r>
      <w:r>
        <w:rPr>
          <w:rFonts w:eastAsia="楷体_GB2312"/>
          <w:sz w:val="24"/>
        </w:rPr>
        <w:fldChar w:fldCharType="end"/>
      </w:r>
      <w:r>
        <w:rPr>
          <w:rFonts w:eastAsia="楷体_GB2312"/>
          <w:sz w:val="24"/>
        </w:rPr>
        <w:t>款的约定由“信托（流动性）储备账户”转入的资金的总金额（但下述第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第(1)项的转付应在相关款项从“收益账”转入“本金账”之前做出）按以下顺序进行分配（如同一顺序的多笔款项不足以同时完全分配的，按各项应受偿金额的比例分配，且所差金额应按以下顺序在下一期分配）：</w:t>
      </w:r>
    </w:p>
    <w:p w14:paraId="786A60E9">
      <w:pPr>
        <w:numPr>
          <w:ilvl w:val="0"/>
          <w:numId w:val="22"/>
        </w:numPr>
        <w:spacing w:before="156" w:beforeLines="50" w:after="156" w:afterLines="50" w:line="360" w:lineRule="auto"/>
        <w:ind w:left="2268"/>
        <w:rPr>
          <w:rFonts w:eastAsia="楷体_GB2312"/>
          <w:sz w:val="24"/>
        </w:rPr>
      </w:pPr>
      <w:bookmarkStart w:id="340" w:name="_Ref156558991"/>
      <w:bookmarkStart w:id="341" w:name="_Ref150542634"/>
      <w:r>
        <w:rPr>
          <w:rFonts w:eastAsia="楷体_GB2312"/>
          <w:sz w:val="24"/>
        </w:rPr>
        <w:t>转入“收益账”项下一定数额资金，以确保“收益账”项下资金可足额分配本合同第</w:t>
      </w:r>
      <w:r>
        <w:rPr>
          <w:rFonts w:eastAsia="楷体_GB2312"/>
          <w:sz w:val="24"/>
        </w:rPr>
        <w:fldChar w:fldCharType="begin"/>
      </w:r>
      <w:r>
        <w:rPr>
          <w:rFonts w:eastAsia="楷体_GB2312"/>
          <w:sz w:val="24"/>
        </w:rPr>
        <w:instrText xml:space="preserve"> REF _Ref221528544 \r \h  \* MERGEFORMAT </w:instrText>
      </w:r>
      <w:r>
        <w:rPr>
          <w:rFonts w:eastAsia="楷体_GB2312"/>
          <w:sz w:val="24"/>
        </w:rPr>
        <w:fldChar w:fldCharType="separate"/>
      </w:r>
      <w:r>
        <w:rPr>
          <w:rFonts w:eastAsia="楷体_GB2312"/>
          <w:sz w:val="24"/>
        </w:rPr>
        <w:t>10.4.1</w:t>
      </w:r>
      <w:r>
        <w:rPr>
          <w:rFonts w:eastAsia="楷体_GB2312"/>
          <w:sz w:val="24"/>
        </w:rPr>
        <w:fldChar w:fldCharType="end"/>
      </w:r>
      <w:r>
        <w:rPr>
          <w:rFonts w:eastAsia="楷体_GB2312"/>
          <w:sz w:val="24"/>
        </w:rPr>
        <w:t>款第(1)项至第(9)项约定的应分配款项；</w:t>
      </w:r>
      <w:bookmarkEnd w:id="340"/>
      <w:bookmarkEnd w:id="341"/>
    </w:p>
    <w:p w14:paraId="2414C2C2">
      <w:pPr>
        <w:numPr>
          <w:ilvl w:val="0"/>
          <w:numId w:val="22"/>
        </w:numPr>
        <w:spacing w:before="156" w:beforeLines="50" w:after="156" w:afterLines="50" w:line="360" w:lineRule="auto"/>
        <w:ind w:left="2268"/>
        <w:rPr>
          <w:rFonts w:eastAsia="楷体_GB2312"/>
          <w:sz w:val="24"/>
        </w:rPr>
      </w:pPr>
      <w:bookmarkStart w:id="342" w:name="_Ref120356330"/>
      <w:r>
        <w:rPr>
          <w:rFonts w:eastAsia="楷体_GB2312"/>
          <w:sz w:val="24"/>
        </w:rPr>
        <w:t>分配“优先A级资产支持证券”的本金，直至“优先A级资产支持证券”的本金清偿完毕；</w:t>
      </w:r>
    </w:p>
    <w:bookmarkEnd w:id="342"/>
    <w:p w14:paraId="4B80468C">
      <w:pPr>
        <w:numPr>
          <w:ilvl w:val="0"/>
          <w:numId w:val="22"/>
        </w:numPr>
        <w:spacing w:before="156" w:beforeLines="50" w:after="156" w:afterLines="50" w:line="360" w:lineRule="auto"/>
        <w:ind w:left="2268"/>
        <w:rPr>
          <w:rFonts w:eastAsia="楷体_GB2312"/>
          <w:sz w:val="24"/>
        </w:rPr>
      </w:pPr>
      <w:bookmarkStart w:id="343" w:name="_Ref120420254"/>
      <w:r>
        <w:rPr>
          <w:rFonts w:eastAsia="楷体_GB2312"/>
          <w:sz w:val="24"/>
        </w:rPr>
        <w:t>分配“优先B级资产支持证券”的本金，直至“优先B级资产支持证券”的本金全部清偿完毕；</w:t>
      </w:r>
    </w:p>
    <w:p w14:paraId="131F39EF">
      <w:pPr>
        <w:numPr>
          <w:ilvl w:val="0"/>
          <w:numId w:val="22"/>
        </w:numPr>
        <w:spacing w:before="156" w:beforeLines="50" w:after="156" w:afterLines="50" w:line="360" w:lineRule="auto"/>
        <w:ind w:left="2268"/>
        <w:rPr>
          <w:rFonts w:eastAsia="楷体_GB2312"/>
          <w:sz w:val="24"/>
        </w:rPr>
      </w:pPr>
      <w:r>
        <w:rPr>
          <w:rFonts w:eastAsia="楷体_GB2312"/>
          <w:sz w:val="24"/>
        </w:rPr>
        <w:t>分配“次级资产支持证券”的本金，直至“次级资产支持证券”的本金清偿完毕；</w:t>
      </w:r>
    </w:p>
    <w:p w14:paraId="2FFE4DD5">
      <w:pPr>
        <w:numPr>
          <w:ilvl w:val="0"/>
          <w:numId w:val="22"/>
        </w:numPr>
        <w:spacing w:before="156" w:beforeLines="50" w:after="156" w:afterLines="50" w:line="360" w:lineRule="auto"/>
        <w:ind w:left="2268"/>
        <w:rPr>
          <w:rFonts w:eastAsia="楷体_GB2312"/>
          <w:sz w:val="24"/>
        </w:rPr>
      </w:pPr>
      <w:r>
        <w:rPr>
          <w:rFonts w:eastAsia="楷体_GB2312"/>
          <w:sz w:val="24"/>
        </w:rPr>
        <w:t>剩余资金作为“次级资产支持证券”的收益分配给“次级资产支持证券持有人”。</w:t>
      </w:r>
      <w:bookmarkEnd w:id="343"/>
    </w:p>
    <w:p w14:paraId="49FCAD35">
      <w:pPr>
        <w:spacing w:before="156" w:beforeLines="50" w:after="156" w:afterLines="50" w:line="360" w:lineRule="auto"/>
        <w:ind w:left="1985"/>
        <w:rPr>
          <w:rFonts w:eastAsia="楷体_GB2312"/>
          <w:b/>
          <w:i/>
          <w:color w:val="FF0000"/>
          <w:sz w:val="24"/>
        </w:rPr>
      </w:pPr>
      <w:r>
        <w:rPr>
          <w:rFonts w:eastAsia="楷体_GB2312"/>
          <w:b/>
          <w:i/>
          <w:color w:val="FF0000"/>
          <w:sz w:val="24"/>
        </w:rPr>
        <w:t>【注：收益分配机制可根据项目实际情况进行调整。】</w:t>
      </w:r>
    </w:p>
    <w:p w14:paraId="7D8DB95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44" w:name="_Ref173768326"/>
      <w:bookmarkStart w:id="345" w:name="_Ref180850304"/>
      <w:r>
        <w:rPr>
          <w:rFonts w:eastAsia="楷体_GB2312"/>
          <w:b/>
          <w:sz w:val="24"/>
        </w:rPr>
        <w:t>违约事件发生后</w:t>
      </w:r>
      <w:bookmarkEnd w:id="344"/>
      <w:r>
        <w:rPr>
          <w:rFonts w:eastAsia="楷体_GB2312"/>
          <w:b/>
          <w:sz w:val="24"/>
        </w:rPr>
        <w:t>的回收款分配</w:t>
      </w:r>
      <w:bookmarkEnd w:id="345"/>
    </w:p>
    <w:p w14:paraId="410D59AA">
      <w:pPr>
        <w:spacing w:before="156" w:beforeLines="50" w:after="156" w:afterLines="50" w:line="360" w:lineRule="auto"/>
        <w:ind w:left="420" w:firstLine="420"/>
        <w:rPr>
          <w:rFonts w:eastAsia="楷体_GB2312"/>
          <w:b/>
          <w:i/>
          <w:color w:val="FF0000"/>
          <w:sz w:val="24"/>
        </w:rPr>
      </w:pPr>
      <w:r>
        <w:rPr>
          <w:rFonts w:eastAsia="楷体_GB2312"/>
          <w:b/>
          <w:i/>
          <w:color w:val="FF0000"/>
          <w:sz w:val="24"/>
        </w:rPr>
        <w:t>【注：具体项目的现金流分配顺序待根据实际情况调整。】</w:t>
      </w:r>
    </w:p>
    <w:p w14:paraId="383594D1">
      <w:pPr>
        <w:spacing w:before="156" w:beforeLines="50" w:after="156" w:afterLines="50" w:line="360" w:lineRule="auto"/>
        <w:ind w:left="993"/>
        <w:outlineLvl w:val="1"/>
        <w:rPr>
          <w:rFonts w:eastAsia="楷体_GB2312"/>
          <w:sz w:val="24"/>
        </w:rPr>
      </w:pPr>
      <w:r>
        <w:rPr>
          <w:rFonts w:eastAsia="楷体_GB2312"/>
          <w:sz w:val="24"/>
        </w:rPr>
        <w:t>在“违约事件”发生后的每个“信托分配日”，“受托人”应将前一个“收款期间”内收到的“回收款”以及于该“信托分配日”按照本合同第</w:t>
      </w:r>
      <w:r>
        <w:rPr>
          <w:rFonts w:eastAsia="楷体_GB2312"/>
          <w:sz w:val="24"/>
        </w:rPr>
        <w:fldChar w:fldCharType="begin"/>
      </w:r>
      <w:r>
        <w:rPr>
          <w:rFonts w:eastAsia="楷体_GB2312"/>
          <w:sz w:val="24"/>
        </w:rPr>
        <w:instrText xml:space="preserve"> REF _Ref518636898 \r \h  \* MERGEFORMAT </w:instrText>
      </w:r>
      <w:r>
        <w:rPr>
          <w:rFonts w:eastAsia="楷体_GB2312"/>
          <w:sz w:val="24"/>
        </w:rPr>
        <w:fldChar w:fldCharType="separate"/>
      </w:r>
      <w:r>
        <w:rPr>
          <w:rFonts w:eastAsia="楷体_GB2312"/>
          <w:sz w:val="24"/>
        </w:rPr>
        <w:t>10.7</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 REF _Ref520849344 \r \h  \* MERGEFORMAT </w:instrText>
      </w:r>
      <w:r>
        <w:rPr>
          <w:rFonts w:eastAsia="楷体_GB2312"/>
          <w:sz w:val="24"/>
        </w:rPr>
        <w:fldChar w:fldCharType="separate"/>
      </w:r>
      <w:r>
        <w:rPr>
          <w:rFonts w:eastAsia="楷体_GB2312"/>
          <w:sz w:val="24"/>
        </w:rPr>
        <w:t>10.8.2</w:t>
      </w:r>
      <w:r>
        <w:rPr>
          <w:rFonts w:eastAsia="楷体_GB2312"/>
          <w:sz w:val="24"/>
        </w:rPr>
        <w:fldChar w:fldCharType="end"/>
      </w:r>
      <w:r>
        <w:rPr>
          <w:rFonts w:eastAsia="楷体_GB2312"/>
          <w:sz w:val="24"/>
        </w:rPr>
        <w:t>款、第</w:t>
      </w:r>
      <w:r>
        <w:rPr>
          <w:rFonts w:eastAsia="楷体_GB2312"/>
          <w:sz w:val="24"/>
        </w:rPr>
        <w:fldChar w:fldCharType="begin"/>
      </w:r>
      <w:r>
        <w:rPr>
          <w:rFonts w:eastAsia="楷体_GB2312"/>
          <w:sz w:val="24"/>
        </w:rPr>
        <w:instrText xml:space="preserve"> REF _Ref520848599 \r \h  \* MERGEFORMAT </w:instrText>
      </w:r>
      <w:r>
        <w:rPr>
          <w:rFonts w:eastAsia="楷体_GB2312"/>
          <w:sz w:val="24"/>
        </w:rPr>
        <w:fldChar w:fldCharType="separate"/>
      </w:r>
      <w:r>
        <w:rPr>
          <w:rFonts w:eastAsia="楷体_GB2312"/>
          <w:sz w:val="24"/>
        </w:rPr>
        <w:t>10.9</w:t>
      </w:r>
      <w:r>
        <w:rPr>
          <w:rFonts w:eastAsia="楷体_GB2312"/>
          <w:sz w:val="24"/>
        </w:rPr>
        <w:fldChar w:fldCharType="end"/>
      </w:r>
      <w:r>
        <w:rPr>
          <w:rFonts w:eastAsia="楷体_GB2312"/>
          <w:sz w:val="24"/>
        </w:rPr>
        <w:t>款的约定从“税收专用账”、“信托（流动性）储备账户”</w:t>
      </w:r>
      <w:r>
        <w:rPr>
          <w:rFonts w:eastAsia="楷体_GB2312"/>
          <w:i/>
          <w:sz w:val="24"/>
        </w:rPr>
        <w:t>、</w:t>
      </w:r>
      <w:r>
        <w:rPr>
          <w:rFonts w:eastAsia="楷体_GB2312"/>
          <w:sz w:val="24"/>
        </w:rPr>
        <w:t>“信托（服务转移和通知）储备账户”转入“收益账”的资金的总金额按以下顺序进行分配（如同一顺序的多笔款项不足以同时完全分配的，按各项应受偿金额的比例分配，且所差金额应按以下顺序在下一期分配）：</w:t>
      </w:r>
    </w:p>
    <w:p w14:paraId="7A9AE965">
      <w:pPr>
        <w:numPr>
          <w:ilvl w:val="2"/>
          <w:numId w:val="4"/>
        </w:numPr>
        <w:tabs>
          <w:tab w:val="left" w:pos="1843"/>
        </w:tabs>
        <w:spacing w:before="156" w:beforeLines="50" w:after="156" w:afterLines="50" w:line="360" w:lineRule="auto"/>
        <w:ind w:left="1843" w:hanging="850"/>
        <w:rPr>
          <w:rFonts w:eastAsia="楷体_GB2312"/>
          <w:sz w:val="24"/>
        </w:rPr>
      </w:pPr>
      <w:bookmarkStart w:id="346" w:name="_Ref150893330"/>
      <w:r>
        <w:rPr>
          <w:rFonts w:eastAsia="楷体_GB2312"/>
          <w:sz w:val="24"/>
        </w:rPr>
        <w:t>依据“中国”“法律”，由“受托人”缴纳的与“信托”相关的税收和规费（包括但不限于：增值税及附加、所得税）记入“税收专用账”；</w:t>
      </w:r>
      <w:bookmarkEnd w:id="346"/>
    </w:p>
    <w:p w14:paraId="23F8AEDF">
      <w:pPr>
        <w:numPr>
          <w:ilvl w:val="2"/>
          <w:numId w:val="4"/>
        </w:numPr>
        <w:tabs>
          <w:tab w:val="left" w:pos="1843"/>
        </w:tabs>
        <w:spacing w:before="156" w:beforeLines="50" w:after="156" w:afterLines="50" w:line="360" w:lineRule="auto"/>
        <w:ind w:left="1843" w:hanging="850"/>
        <w:rPr>
          <w:rFonts w:eastAsia="楷体_GB2312"/>
          <w:sz w:val="24"/>
        </w:rPr>
      </w:pPr>
      <w:bookmarkStart w:id="347" w:name="_Ref173869661"/>
      <w:bookmarkStart w:id="348" w:name="_Ref196646001"/>
      <w:bookmarkStart w:id="349" w:name="_Ref150893332"/>
      <w:r>
        <w:rPr>
          <w:rFonts w:eastAsia="楷体_GB2312"/>
          <w:sz w:val="24"/>
        </w:rPr>
        <w:t>分配“受托人”按照本合同的约定以固有财产垫付的“登记托管机构”的发行登记服务费（如有）；</w:t>
      </w:r>
    </w:p>
    <w:p w14:paraId="16595923">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分配“登记托管机构”/“支付代理机构”的报酬；</w:t>
      </w:r>
      <w:bookmarkEnd w:id="347"/>
    </w:p>
    <w:p w14:paraId="7CBD490F">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分配（在“回收款”不能足额清偿本条各项时，按下列各项应受偿金额的比例）：(1)“受托人”的报酬；(2)“资金保管机构”的报酬；(3)“评级机构”提供跟踪评级的报酬（如有）；(4)“审计师”的报酬（如有）；(5)“后备贷款服务机构”（如有）的报酬；(6)</w:t>
      </w:r>
      <w:r>
        <w:rPr>
          <w:rFonts w:eastAsia="楷体_GB2312"/>
          <w:color w:val="000000"/>
          <w:sz w:val="24"/>
        </w:rPr>
        <w:t>“受托人”因“清仓回购”而聘请</w:t>
      </w:r>
      <w:r>
        <w:rPr>
          <w:rFonts w:hint="eastAsia" w:eastAsia="楷体_GB2312"/>
          <w:color w:val="000000"/>
          <w:sz w:val="24"/>
        </w:rPr>
        <w:t>第三方专业机构</w:t>
      </w:r>
      <w:r>
        <w:rPr>
          <w:rFonts w:eastAsia="楷体_GB2312"/>
          <w:color w:val="000000"/>
          <w:sz w:val="24"/>
        </w:rPr>
        <w:t>对剩余“资产池”进行评估所发生的费用；(</w:t>
      </w:r>
      <w:r>
        <w:rPr>
          <w:rFonts w:hint="eastAsia" w:eastAsia="楷体_GB2312"/>
          <w:color w:val="000000"/>
          <w:sz w:val="24"/>
        </w:rPr>
        <w:t>7</w:t>
      </w:r>
      <w:r>
        <w:rPr>
          <w:rFonts w:eastAsia="楷体_GB2312"/>
          <w:color w:val="000000"/>
          <w:sz w:val="24"/>
        </w:rPr>
        <w:t>)</w:t>
      </w:r>
      <w:r>
        <w:rPr>
          <w:rFonts w:eastAsia="楷体_GB2312"/>
          <w:sz w:val="24"/>
        </w:rPr>
        <w:t>上述相关主体和“贷款服务机构”各自可报销的“费用支出”；(</w:t>
      </w:r>
      <w:r>
        <w:rPr>
          <w:rFonts w:hint="eastAsia" w:eastAsia="楷体_GB2312"/>
          <w:sz w:val="24"/>
        </w:rPr>
        <w:t>8</w:t>
      </w:r>
      <w:r>
        <w:rPr>
          <w:rFonts w:eastAsia="楷体_GB2312"/>
          <w:sz w:val="24"/>
        </w:rPr>
        <w:t>)“受托人”按照本合同的约定以固有财产垫付的代为发送“权利完善通知”所发生的费用（如有）；</w:t>
      </w:r>
    </w:p>
    <w:p w14:paraId="04A8D13E">
      <w:pPr>
        <w:spacing w:before="156" w:beforeLines="50" w:after="156" w:afterLines="50" w:line="360" w:lineRule="auto"/>
        <w:ind w:left="1843"/>
        <w:rPr>
          <w:rFonts w:eastAsia="楷体_GB2312"/>
          <w:b/>
          <w:i/>
          <w:color w:val="FF0000"/>
          <w:sz w:val="24"/>
        </w:rPr>
      </w:pPr>
      <w:r>
        <w:rPr>
          <w:rFonts w:eastAsia="楷体_GB2312"/>
          <w:b/>
          <w:i/>
          <w:color w:val="FF0000"/>
          <w:sz w:val="24"/>
        </w:rPr>
        <w:t>【注：由信托财产承担的费用，可根据项目实际情况进行调整。】</w:t>
      </w:r>
    </w:p>
    <w:bookmarkEnd w:id="348"/>
    <w:p w14:paraId="5B6FF6B0">
      <w:pPr>
        <w:numPr>
          <w:ilvl w:val="2"/>
          <w:numId w:val="4"/>
        </w:numPr>
        <w:tabs>
          <w:tab w:val="left" w:pos="1843"/>
        </w:tabs>
        <w:spacing w:before="156" w:beforeLines="50" w:after="156" w:afterLines="50" w:line="360" w:lineRule="auto"/>
        <w:ind w:left="1843" w:hanging="850"/>
        <w:rPr>
          <w:rFonts w:eastAsia="楷体_GB2312"/>
          <w:sz w:val="24"/>
        </w:rPr>
      </w:pPr>
      <w:bookmarkStart w:id="350" w:name="_Ref221965663"/>
      <w:bookmarkStart w:id="351" w:name="_Ref185333145"/>
      <w:r>
        <w:rPr>
          <w:rFonts w:eastAsia="楷体_GB2312"/>
          <w:sz w:val="24"/>
        </w:rPr>
        <w:t>分配应支付给“贷款服务机构”的报酬；</w:t>
      </w:r>
      <w:bookmarkEnd w:id="350"/>
    </w:p>
    <w:p w14:paraId="71579C7F">
      <w:pPr>
        <w:numPr>
          <w:ilvl w:val="2"/>
          <w:numId w:val="4"/>
        </w:numPr>
        <w:tabs>
          <w:tab w:val="left" w:pos="1843"/>
        </w:tabs>
        <w:spacing w:before="156" w:beforeLines="50" w:after="156" w:afterLines="50" w:line="360" w:lineRule="auto"/>
        <w:ind w:left="1843" w:hanging="850"/>
        <w:rPr>
          <w:rFonts w:eastAsia="楷体_GB2312"/>
          <w:sz w:val="24"/>
        </w:rPr>
      </w:pPr>
      <w:bookmarkStart w:id="352" w:name="_Ref466189067"/>
      <w:r>
        <w:rPr>
          <w:rFonts w:eastAsia="楷体_GB2312"/>
          <w:sz w:val="24"/>
        </w:rPr>
        <w:t>同顺序分配该“信托分配日”后第一个“支付日”应支付的“优先A级资产支持证券”的利息（包括累计未付利息）；</w:t>
      </w:r>
      <w:bookmarkEnd w:id="352"/>
    </w:p>
    <w:p w14:paraId="491B96D1">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同顺序按“未偿本金余额”的比例分配“优先A级资产支持证券”的本金，直至“优先A级资产支持证券”的本金全部清偿完毕；</w:t>
      </w:r>
    </w:p>
    <w:p w14:paraId="4275B24F">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同顺序分配该“信托分配日”后第一个“支付日”应支付的“优先B级资产支持证券”的利息（包括累计未付利息）；</w:t>
      </w:r>
    </w:p>
    <w:p w14:paraId="38464722">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同顺序按“未偿本金余额”的比例分配“优先B级资产支持证券”的本金，直至“优先B级资产支持证券”的本金全部清偿完毕；</w:t>
      </w:r>
    </w:p>
    <w:bookmarkEnd w:id="349"/>
    <w:bookmarkEnd w:id="351"/>
    <w:p w14:paraId="7B23B34C">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分配“次级资产支持证券”的本金，直至“次级资产支持证券”的本金清偿完毕；</w:t>
      </w:r>
    </w:p>
    <w:p w14:paraId="23A2638C">
      <w:pPr>
        <w:numPr>
          <w:ilvl w:val="2"/>
          <w:numId w:val="4"/>
        </w:numPr>
        <w:tabs>
          <w:tab w:val="left" w:pos="1843"/>
        </w:tabs>
        <w:spacing w:before="156" w:beforeLines="50" w:after="156" w:afterLines="50" w:line="360" w:lineRule="auto"/>
        <w:ind w:left="1843" w:hanging="850"/>
        <w:rPr>
          <w:rFonts w:eastAsia="楷体_GB2312"/>
          <w:sz w:val="24"/>
        </w:rPr>
      </w:pPr>
      <w:bookmarkStart w:id="353" w:name="_Ref518636798"/>
      <w:r>
        <w:rPr>
          <w:rFonts w:eastAsia="楷体_GB2312"/>
          <w:sz w:val="24"/>
        </w:rPr>
        <w:t>剩余资金作为“次级资产支持证券”的收益分配给“次级资产支持证券持有人”。</w:t>
      </w:r>
      <w:bookmarkEnd w:id="315"/>
      <w:bookmarkEnd w:id="353"/>
    </w:p>
    <w:p w14:paraId="27D1ABEE">
      <w:pPr>
        <w:spacing w:before="156" w:beforeLines="50" w:after="156" w:afterLines="50" w:line="360" w:lineRule="auto"/>
        <w:ind w:left="1843"/>
        <w:rPr>
          <w:rFonts w:eastAsia="楷体_GB2312"/>
          <w:b/>
          <w:i/>
          <w:color w:val="FF0000"/>
          <w:sz w:val="24"/>
        </w:rPr>
      </w:pPr>
      <w:r>
        <w:rPr>
          <w:rFonts w:eastAsia="楷体_GB2312"/>
          <w:b/>
          <w:i/>
          <w:color w:val="FF0000"/>
          <w:sz w:val="24"/>
        </w:rPr>
        <w:t>【注：收益分配机制可根据项目实际情况进行调整。】</w:t>
      </w:r>
    </w:p>
    <w:p w14:paraId="31BD9A89">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54" w:name="_Ref518643019"/>
      <w:bookmarkStart w:id="355" w:name="_Ref180852012"/>
      <w:bookmarkStart w:id="356" w:name="_Ref180850323"/>
      <w:r>
        <w:rPr>
          <w:rFonts w:eastAsia="楷体_GB2312"/>
          <w:b/>
          <w:sz w:val="24"/>
        </w:rPr>
        <w:t>信托终止后信托财产的分配</w:t>
      </w:r>
      <w:bookmarkEnd w:id="354"/>
    </w:p>
    <w:p w14:paraId="51DE41C6">
      <w:pPr>
        <w:spacing w:before="156" w:beforeLines="50" w:after="156" w:afterLines="50" w:line="360" w:lineRule="auto"/>
        <w:ind w:left="992"/>
        <w:outlineLvl w:val="1"/>
        <w:rPr>
          <w:rFonts w:eastAsia="楷体_GB2312"/>
          <w:b/>
          <w:bCs/>
          <w:i/>
          <w:iCs/>
          <w:color w:val="FF0000"/>
          <w:sz w:val="24"/>
        </w:rPr>
      </w:pPr>
      <w:r>
        <w:rPr>
          <w:rFonts w:eastAsia="楷体_GB2312"/>
          <w:b/>
          <w:bCs/>
          <w:i/>
          <w:iCs/>
          <w:color w:val="FF0000"/>
          <w:sz w:val="24"/>
        </w:rPr>
        <w:t>【注：具体项目的现金流分配顺序待根据实际情况调整。】</w:t>
      </w:r>
    </w:p>
    <w:p w14:paraId="568E381F">
      <w:pPr>
        <w:spacing w:before="156" w:beforeLines="50" w:after="156" w:afterLines="50" w:line="360" w:lineRule="auto"/>
        <w:ind w:left="992"/>
        <w:outlineLvl w:val="1"/>
        <w:rPr>
          <w:rFonts w:eastAsia="楷体_GB2312"/>
          <w:sz w:val="24"/>
        </w:rPr>
      </w:pPr>
      <w:r>
        <w:rPr>
          <w:rFonts w:eastAsia="楷体_GB2312"/>
          <w:sz w:val="24"/>
        </w:rPr>
        <w:t>在“信托终止日”后，“受托人”应将清算所得的“回收款”以及“信托账户”内的其他资金的总金额按以下顺序进行分配（如同一顺序的多笔款项不足以同时足额分配，则按各笔款项应受偿金额的比例分配）：</w:t>
      </w:r>
    </w:p>
    <w:p w14:paraId="290BEC62">
      <w:pPr>
        <w:numPr>
          <w:ilvl w:val="2"/>
          <w:numId w:val="4"/>
        </w:numPr>
        <w:tabs>
          <w:tab w:val="left" w:pos="1843"/>
        </w:tabs>
        <w:spacing w:before="156" w:beforeLines="50" w:after="156" w:afterLines="50" w:line="360" w:lineRule="auto"/>
        <w:ind w:left="1843" w:hanging="850"/>
        <w:rPr>
          <w:rFonts w:eastAsia="楷体_GB2312"/>
          <w:bCs/>
          <w:sz w:val="24"/>
        </w:rPr>
      </w:pPr>
      <w:r>
        <w:rPr>
          <w:rFonts w:eastAsia="楷体_GB2312"/>
          <w:sz w:val="24"/>
        </w:rPr>
        <w:t>依据“中</w:t>
      </w:r>
      <w:r>
        <w:rPr>
          <w:rFonts w:eastAsia="楷体_GB2312"/>
          <w:bCs/>
          <w:sz w:val="24"/>
        </w:rPr>
        <w:t>国”“法律”，由“受托人”缴纳的与“信托”相关的税收和规费（包括但不限于：增值税及附加、所得税）记入“税收专用账”；</w:t>
      </w:r>
    </w:p>
    <w:p w14:paraId="49782D63">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bCs/>
          <w:sz w:val="24"/>
        </w:rPr>
        <w:t>分配</w:t>
      </w:r>
      <w:r>
        <w:rPr>
          <w:rFonts w:eastAsia="楷体_GB2312"/>
          <w:sz w:val="24"/>
        </w:rPr>
        <w:t>在“信托”清算期间所发生的与“信托财产”清算相关的合理费用；</w:t>
      </w:r>
    </w:p>
    <w:p w14:paraId="22721B3D">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分配“受托人”按照本合同的约定以固有财产垫付的“登记托管机构”的发行登记服务费（如有）；</w:t>
      </w:r>
    </w:p>
    <w:p w14:paraId="0E8BB8B2">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分配“登记托管机构”/“支付代理机构”的报酬；</w:t>
      </w:r>
    </w:p>
    <w:p w14:paraId="21394DB9">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分配（在“回收款”不能足额清偿本条各项时，按下列各项应受偿金额的比例）：(1)“受托人”的报酬；(2)“资金保管机构”的报酬；(3)“评级机构”提供跟踪评级的报酬（如有）；(4)“审计师”的报酬（如有）；(5)“后备贷款服务机构”（如有）的报酬；(6)</w:t>
      </w:r>
      <w:r>
        <w:rPr>
          <w:rFonts w:eastAsia="楷体_GB2312"/>
          <w:color w:val="000000"/>
          <w:sz w:val="24"/>
        </w:rPr>
        <w:t>“受托人”因“清仓回购”而聘请</w:t>
      </w:r>
      <w:r>
        <w:rPr>
          <w:rFonts w:hint="eastAsia" w:eastAsia="楷体_GB2312"/>
          <w:color w:val="000000"/>
          <w:sz w:val="24"/>
        </w:rPr>
        <w:t>第三方专业机构</w:t>
      </w:r>
      <w:r>
        <w:rPr>
          <w:rFonts w:eastAsia="楷体_GB2312"/>
          <w:color w:val="000000"/>
          <w:sz w:val="24"/>
        </w:rPr>
        <w:t>对剩余“资产池”进行评估所发生的费用；(</w:t>
      </w:r>
      <w:r>
        <w:rPr>
          <w:rFonts w:hint="eastAsia" w:eastAsia="楷体_GB2312"/>
          <w:color w:val="000000"/>
          <w:sz w:val="24"/>
        </w:rPr>
        <w:t>7</w:t>
      </w:r>
      <w:r>
        <w:rPr>
          <w:rFonts w:eastAsia="楷体_GB2312"/>
          <w:color w:val="000000"/>
          <w:sz w:val="24"/>
        </w:rPr>
        <w:t>)</w:t>
      </w:r>
      <w:r>
        <w:rPr>
          <w:rFonts w:eastAsia="楷体_GB2312"/>
          <w:sz w:val="24"/>
        </w:rPr>
        <w:t>上述相关主体和“贷款服务机构”各自可报销的“费用支出”；(</w:t>
      </w:r>
      <w:r>
        <w:rPr>
          <w:rFonts w:hint="eastAsia" w:eastAsia="楷体_GB2312"/>
          <w:sz w:val="24"/>
        </w:rPr>
        <w:t>8</w:t>
      </w:r>
      <w:r>
        <w:rPr>
          <w:rFonts w:eastAsia="楷体_GB2312"/>
          <w:sz w:val="24"/>
        </w:rPr>
        <w:t>)“受托人”按照本合同的约定以固有财产垫付的代为发送“权利完善通知”所发生的费用（如有）；</w:t>
      </w:r>
    </w:p>
    <w:p w14:paraId="2E676981">
      <w:pPr>
        <w:spacing w:before="156" w:beforeLines="50" w:after="156" w:afterLines="50" w:line="360" w:lineRule="auto"/>
        <w:ind w:left="1843"/>
        <w:rPr>
          <w:rFonts w:eastAsia="楷体_GB2312"/>
          <w:color w:val="FF0000"/>
          <w:sz w:val="24"/>
        </w:rPr>
      </w:pPr>
      <w:r>
        <w:rPr>
          <w:rFonts w:eastAsia="楷体_GB2312"/>
          <w:b/>
          <w:i/>
          <w:color w:val="FF0000"/>
          <w:sz w:val="24"/>
        </w:rPr>
        <w:t>【注：由信托财产承担的费用，可根据项目实际情况进行调整。】</w:t>
      </w:r>
    </w:p>
    <w:p w14:paraId="504755A6">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分配应支付给“贷款服务机构”的报酬；</w:t>
      </w:r>
    </w:p>
    <w:p w14:paraId="5BADAEB3">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同顺序分配应支付的“优先A级资产支持证券”的利息（包括累计未付利息），直至应付“优先A级资产支持证券”利息为零；</w:t>
      </w:r>
    </w:p>
    <w:p w14:paraId="3113EA5C">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同顺序按“未偿本金余额”的比例分配“优先A级资产支持证券”的“未偿本金余额”，直至“优先A级资产支持证券”的本金全部清偿完毕；</w:t>
      </w:r>
    </w:p>
    <w:p w14:paraId="6412A363">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同顺序分配应支付的“优先B级资产支持证券”的利息（包括累计未付利息），直至应付“优先B级资产支持证券”利息为零；</w:t>
      </w:r>
    </w:p>
    <w:p w14:paraId="3A12F03F">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同顺序按“未偿本金余额”的比例分配“优先B级资产支持证券”的“未偿本金余额”，直至“优先B级资产支持证券”的本金全部清偿完毕；</w:t>
      </w:r>
    </w:p>
    <w:p w14:paraId="03976E37">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如届时“贷款服务机构”同时为“次级资产支持证券持有人”，则经“次级资产支持证券持有人”一致同意，“受托人”可以以剩余“信托财产”原状的方式向所有“次级资产支持证券持有人”、“贷款服务机构”进行分配，具体的分配方案应当经“次级资产支持证券持有人”书面一致同意方可进行；如“次级资产支持证券持有人”不能就分配方案达成书面的一致意见，则“受托人”应当按照本合同约定清算“非现金信托财产”，并将“处置收入”继续按以下顺序进行分配；</w:t>
      </w:r>
    </w:p>
    <w:p w14:paraId="636BF8D6">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分配“次级资产支持证券”的本金，直至“次级资产支持证券”的本金清偿完毕；</w:t>
      </w:r>
    </w:p>
    <w:p w14:paraId="4036272C">
      <w:pPr>
        <w:numPr>
          <w:ilvl w:val="2"/>
          <w:numId w:val="4"/>
        </w:numPr>
        <w:tabs>
          <w:tab w:val="left" w:pos="1843"/>
        </w:tabs>
        <w:spacing w:before="156" w:beforeLines="50" w:after="156" w:afterLines="50" w:line="360" w:lineRule="auto"/>
        <w:ind w:left="1843" w:hanging="850"/>
        <w:rPr>
          <w:rFonts w:eastAsia="楷体_GB2312"/>
          <w:sz w:val="24"/>
        </w:rPr>
      </w:pPr>
      <w:bookmarkStart w:id="357" w:name="_Ref518636807"/>
      <w:r>
        <w:rPr>
          <w:rFonts w:eastAsia="楷体_GB2312"/>
          <w:sz w:val="24"/>
        </w:rPr>
        <w:t>剩余资金作为“次级资产支持证券”的收益分配给“次级资产支持证券持有人”。</w:t>
      </w:r>
      <w:bookmarkEnd w:id="357"/>
    </w:p>
    <w:p w14:paraId="78899F5E">
      <w:pPr>
        <w:spacing w:before="156" w:beforeLines="50" w:after="156" w:afterLines="50" w:line="360" w:lineRule="auto"/>
        <w:ind w:left="1843"/>
        <w:rPr>
          <w:rFonts w:eastAsia="楷体_GB2312"/>
          <w:b/>
          <w:i/>
          <w:color w:val="FF0000"/>
          <w:sz w:val="24"/>
        </w:rPr>
      </w:pPr>
      <w:r>
        <w:rPr>
          <w:rFonts w:eastAsia="楷体_GB2312"/>
          <w:b/>
          <w:i/>
          <w:color w:val="FF0000"/>
          <w:sz w:val="24"/>
        </w:rPr>
        <w:t>【注：收益分配机制可根据项目实际情况进行调整。】</w:t>
      </w:r>
    </w:p>
    <w:p w14:paraId="52B3D7ED">
      <w:pPr>
        <w:numPr>
          <w:ilvl w:val="1"/>
          <w:numId w:val="4"/>
        </w:numPr>
        <w:tabs>
          <w:tab w:val="left" w:pos="992"/>
        </w:tabs>
        <w:spacing w:before="156" w:beforeLines="50" w:after="156" w:afterLines="50" w:line="360" w:lineRule="auto"/>
        <w:ind w:left="879" w:hanging="454"/>
        <w:outlineLvl w:val="1"/>
        <w:rPr>
          <w:rFonts w:eastAsia="楷体_GB2312"/>
          <w:sz w:val="24"/>
        </w:rPr>
      </w:pPr>
      <w:bookmarkStart w:id="358" w:name="_Ref518636898"/>
      <w:r>
        <w:rPr>
          <w:rFonts w:eastAsia="楷体_GB2312"/>
          <w:b/>
          <w:sz w:val="24"/>
        </w:rPr>
        <w:t>税收专用账项下资金的运用</w:t>
      </w:r>
      <w:bookmarkEnd w:id="355"/>
      <w:bookmarkEnd w:id="356"/>
      <w:bookmarkEnd w:id="358"/>
    </w:p>
    <w:p w14:paraId="586F85D3">
      <w:pPr>
        <w:numPr>
          <w:ilvl w:val="2"/>
          <w:numId w:val="4"/>
        </w:numPr>
        <w:tabs>
          <w:tab w:val="left" w:pos="900"/>
          <w:tab w:val="left" w:pos="1701"/>
        </w:tabs>
        <w:spacing w:before="156" w:beforeLines="50" w:after="156" w:afterLines="50" w:line="360" w:lineRule="auto"/>
        <w:ind w:left="1560" w:hanging="709"/>
        <w:rPr>
          <w:rFonts w:eastAsia="楷体_GB2312"/>
          <w:sz w:val="24"/>
        </w:rPr>
      </w:pPr>
      <w:r>
        <w:rPr>
          <w:rFonts w:eastAsia="楷体_GB2312"/>
          <w:sz w:val="24"/>
        </w:rPr>
        <w:t>依据“中国”“法律”，由“受托人”缴纳与“信托”相关的税收和规费，“受托人”指令“资金保管机构”将“税收专用账”项下资金按以下顺序进行支付：</w:t>
      </w:r>
    </w:p>
    <w:p w14:paraId="496DCA9D">
      <w:pPr>
        <w:numPr>
          <w:ilvl w:val="0"/>
          <w:numId w:val="23"/>
        </w:numPr>
        <w:spacing w:before="156" w:beforeLines="50" w:after="156" w:afterLines="50" w:line="360" w:lineRule="auto"/>
        <w:rPr>
          <w:rFonts w:eastAsia="楷体_GB2312"/>
          <w:sz w:val="24"/>
        </w:rPr>
      </w:pPr>
      <w:r>
        <w:rPr>
          <w:rFonts w:eastAsia="楷体_GB2312"/>
          <w:sz w:val="24"/>
        </w:rPr>
        <w:t>支付“信托”届时应缴纳的税收和规费；</w:t>
      </w:r>
    </w:p>
    <w:p w14:paraId="1402D682">
      <w:pPr>
        <w:numPr>
          <w:ilvl w:val="0"/>
          <w:numId w:val="23"/>
        </w:numPr>
        <w:spacing w:before="156" w:beforeLines="50" w:after="156" w:afterLines="50" w:line="360" w:lineRule="auto"/>
        <w:rPr>
          <w:rFonts w:eastAsia="楷体_GB2312"/>
          <w:sz w:val="24"/>
        </w:rPr>
      </w:pPr>
      <w:r>
        <w:rPr>
          <w:rFonts w:eastAsia="楷体_GB2312"/>
          <w:sz w:val="24"/>
        </w:rPr>
        <w:t>将剩余预提金额保留在“税收专用账”项下。</w:t>
      </w:r>
    </w:p>
    <w:p w14:paraId="4BEBFB2A">
      <w:pPr>
        <w:numPr>
          <w:ilvl w:val="2"/>
          <w:numId w:val="4"/>
        </w:numPr>
        <w:tabs>
          <w:tab w:val="left" w:pos="1843"/>
        </w:tabs>
        <w:spacing w:before="156" w:beforeLines="50" w:after="156" w:afterLines="50" w:line="360" w:lineRule="auto"/>
        <w:ind w:left="1843" w:hanging="850"/>
        <w:rPr>
          <w:rFonts w:eastAsia="楷体_GB2312"/>
          <w:sz w:val="24"/>
        </w:rPr>
      </w:pPr>
      <w:bookmarkStart w:id="359" w:name="_Ref199565386"/>
      <w:r>
        <w:rPr>
          <w:rFonts w:eastAsia="楷体_GB2312"/>
          <w:sz w:val="24"/>
        </w:rPr>
        <w:t>在“信托”所有应付税收和规费全部支付完成后，“受托人”应指示“资金保管机构”将“税收专用账”项下资金转入“收益账”。</w:t>
      </w:r>
      <w:bookmarkEnd w:id="359"/>
    </w:p>
    <w:p w14:paraId="370F4E1A">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60" w:name="_Ref520848965"/>
      <w:r>
        <w:rPr>
          <w:rFonts w:eastAsia="楷体_GB2312"/>
          <w:b/>
          <w:sz w:val="24"/>
        </w:rPr>
        <w:t>信托（流动性）储备账户资金的运用</w:t>
      </w:r>
      <w:bookmarkEnd w:id="360"/>
    </w:p>
    <w:p w14:paraId="61341F19">
      <w:pPr>
        <w:numPr>
          <w:ilvl w:val="2"/>
          <w:numId w:val="4"/>
        </w:numPr>
        <w:tabs>
          <w:tab w:val="left" w:pos="1843"/>
        </w:tabs>
        <w:spacing w:before="156" w:beforeLines="50" w:after="156" w:afterLines="50" w:line="360" w:lineRule="auto"/>
        <w:ind w:left="1843" w:hanging="850"/>
        <w:rPr>
          <w:rFonts w:eastAsia="楷体_GB2312"/>
          <w:sz w:val="24"/>
        </w:rPr>
      </w:pPr>
      <w:bookmarkStart w:id="361" w:name="_Ref520850239"/>
      <w:r>
        <w:rPr>
          <w:rFonts w:eastAsia="楷体_GB2312"/>
          <w:sz w:val="24"/>
        </w:rPr>
        <w:t>在“违约事件”发生前且在所有“优先级资产支持证券”本金和利息兑付完毕前，在每个“信托分配日”，“受托人”应指示“资金保管机构”将“信托（流动性）储备账户”中的全部金额（如有）转入“本金账”</w:t>
      </w:r>
      <w:r>
        <w:rPr>
          <w:rFonts w:hint="eastAsia" w:eastAsia="楷体_GB2312"/>
          <w:sz w:val="24"/>
        </w:rPr>
        <w:t>，</w:t>
      </w:r>
      <w:r>
        <w:rPr>
          <w:rFonts w:eastAsia="楷体_GB2312"/>
          <w:sz w:val="24"/>
        </w:rPr>
        <w:t>由“本金账”按照第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款约定的分配顺序进行分配。本款应优先于第</w:t>
      </w:r>
      <w:r>
        <w:rPr>
          <w:rFonts w:eastAsia="楷体_GB2312"/>
          <w:sz w:val="24"/>
        </w:rPr>
        <w:fldChar w:fldCharType="begin"/>
      </w:r>
      <w:r>
        <w:rPr>
          <w:rFonts w:eastAsia="楷体_GB2312"/>
          <w:sz w:val="24"/>
        </w:rPr>
        <w:instrText xml:space="preserve"> REF _Ref520848039 \r \h  \* MERGEFORMAT </w:instrText>
      </w:r>
      <w:r>
        <w:rPr>
          <w:rFonts w:eastAsia="楷体_GB2312"/>
          <w:sz w:val="24"/>
        </w:rPr>
        <w:fldChar w:fldCharType="separate"/>
      </w:r>
      <w:r>
        <w:rPr>
          <w:rFonts w:eastAsia="楷体_GB2312"/>
          <w:sz w:val="24"/>
        </w:rPr>
        <w:t>10.4.2</w:t>
      </w:r>
      <w:r>
        <w:rPr>
          <w:rFonts w:eastAsia="楷体_GB2312"/>
          <w:sz w:val="24"/>
        </w:rPr>
        <w:fldChar w:fldCharType="end"/>
      </w:r>
      <w:r>
        <w:rPr>
          <w:rFonts w:eastAsia="楷体_GB2312"/>
          <w:sz w:val="24"/>
        </w:rPr>
        <w:t>款执行。</w:t>
      </w:r>
      <w:bookmarkEnd w:id="361"/>
    </w:p>
    <w:p w14:paraId="2799F240">
      <w:pPr>
        <w:numPr>
          <w:ilvl w:val="2"/>
          <w:numId w:val="4"/>
        </w:numPr>
        <w:tabs>
          <w:tab w:val="left" w:pos="1843"/>
        </w:tabs>
        <w:spacing w:before="156" w:beforeLines="50" w:after="156" w:afterLines="50" w:line="360" w:lineRule="auto"/>
        <w:ind w:left="1843" w:hanging="850"/>
        <w:rPr>
          <w:rFonts w:eastAsia="楷体_GB2312"/>
          <w:sz w:val="24"/>
        </w:rPr>
      </w:pPr>
      <w:bookmarkStart w:id="362" w:name="_Ref520849344"/>
      <w:r>
        <w:rPr>
          <w:rFonts w:eastAsia="楷体_GB2312"/>
          <w:sz w:val="24"/>
        </w:rPr>
        <w:t>在“违约事件”发生后或在所有“优先级资产支持证券”本金和利息兑付完毕后或“信托”终止后，“受托人”应指示“资金保管机构”将届时“信托（流动性）储备账户”中的全部剩余金额（如有）转入“收益账”。</w:t>
      </w:r>
      <w:bookmarkEnd w:id="362"/>
    </w:p>
    <w:p w14:paraId="57EF57D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363" w:name="_Ref520848599"/>
      <w:r>
        <w:rPr>
          <w:rFonts w:eastAsia="楷体_GB2312"/>
          <w:b/>
          <w:sz w:val="24"/>
        </w:rPr>
        <w:t>信托（服务转移和通知）储备账户资金的运用</w:t>
      </w:r>
      <w:bookmarkEnd w:id="363"/>
    </w:p>
    <w:p w14:paraId="140AB897">
      <w:pPr>
        <w:numPr>
          <w:ilvl w:val="2"/>
          <w:numId w:val="4"/>
        </w:numPr>
        <w:tabs>
          <w:tab w:val="left" w:pos="1843"/>
        </w:tabs>
        <w:spacing w:before="156" w:beforeLines="50" w:after="156" w:afterLines="50" w:line="360" w:lineRule="auto"/>
        <w:ind w:left="1843" w:hanging="850"/>
        <w:rPr>
          <w:rFonts w:eastAsia="楷体_GB2312"/>
          <w:bCs/>
          <w:sz w:val="24"/>
        </w:rPr>
      </w:pPr>
      <w:bookmarkStart w:id="364" w:name="_Ref520850733"/>
      <w:r>
        <w:rPr>
          <w:rFonts w:eastAsia="楷体_GB2312"/>
          <w:sz w:val="24"/>
        </w:rPr>
        <w:t>“贷款服务机构”按照“《服务合同》”的约定向“后备贷款服务机构</w:t>
      </w:r>
      <w:r>
        <w:rPr>
          <w:rFonts w:eastAsia="楷体_GB2312"/>
          <w:bCs/>
          <w:sz w:val="24"/>
        </w:rPr>
        <w:t>”或“替代贷款服务机构”转移服务时，“受托人”应指令“资</w:t>
      </w:r>
      <w:r>
        <w:rPr>
          <w:rFonts w:eastAsia="楷体_GB2312"/>
          <w:sz w:val="24"/>
        </w:rPr>
        <w:t>金保管机构”于下一个“信托分配日”，将相当于“预计转移费用”的金额从“信托（服务转移和通知）储备账户”转入“后备贷款服务机构”或“替代贷款服务机构”（如适用）的账户。“后备贷款</w:t>
      </w:r>
      <w:r>
        <w:rPr>
          <w:rFonts w:eastAsia="楷体_GB2312"/>
          <w:bCs/>
          <w:sz w:val="24"/>
        </w:rPr>
        <w:t>服务机构”或“替代贷款服务机构”（如适用）实际发生的转移费用如果低于“预计转移费用”，应将超过部分返还给“受托人”，由“受托人”记入“信托（服务转移和通知）储备账户”，如果实际发生的转移费用超过“预计转移费用”，应由“信托财产”补偿。</w:t>
      </w:r>
      <w:bookmarkEnd w:id="364"/>
    </w:p>
    <w:p w14:paraId="7A5843A1">
      <w:pPr>
        <w:numPr>
          <w:ilvl w:val="2"/>
          <w:numId w:val="4"/>
        </w:numPr>
        <w:tabs>
          <w:tab w:val="left" w:pos="1843"/>
        </w:tabs>
        <w:spacing w:before="156" w:beforeLines="50" w:after="156" w:afterLines="50" w:line="360" w:lineRule="auto"/>
        <w:ind w:left="1843" w:hanging="850"/>
        <w:rPr>
          <w:rFonts w:eastAsia="楷体_GB2312"/>
          <w:bCs/>
          <w:sz w:val="24"/>
        </w:rPr>
      </w:pPr>
      <w:bookmarkStart w:id="365" w:name="_Ref520850699"/>
      <w:r>
        <w:rPr>
          <w:rFonts w:eastAsia="楷体_GB2312"/>
          <w:bCs/>
          <w:sz w:val="24"/>
        </w:rPr>
        <w:t>在每个“信托分配日”，如“信托（服务转移和通知）储备账户”中的金额超过“必备（服务转移和通知）储备金额”，“资金保管机构”根据“受托人”指令将超额款项转入“收益账”。</w:t>
      </w:r>
      <w:bookmarkEnd w:id="365"/>
    </w:p>
    <w:p w14:paraId="27278255">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bCs/>
          <w:sz w:val="24"/>
        </w:rPr>
        <w:t>在“权利完善事件”发生后的任何一日，如果“受托人”须按本合同的约定发送“权利完善通知”，或“贷款服务机构”被解任后需依据</w:t>
      </w:r>
      <w:r>
        <w:rPr>
          <w:rFonts w:eastAsia="楷体_GB2312"/>
          <w:sz w:val="24"/>
        </w:rPr>
        <w:t>“《服务合同》”发送解任通知，“受托机构”应指示“资金保管机构”于下一个“信托分配日”，以“信托（服务转移和通知）储备账户”中的金额为限，将相当于“预计通知费用”的金额从“信托（服务转移和通知）储备账户”转入“受托人”的账户，以用于支付发送“权利完善通知”的费用。“受托人”实际发生的通知费用如果低于“预计通知费用”，应将超过部分返还给“受托人”纳入“信托账户”，如果实际发生的通知费用超过“预计通知费用”，应由“信托财产”补偿。</w:t>
      </w:r>
    </w:p>
    <w:p w14:paraId="31BFC0AF">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rPr>
        <w:t>在所有“优先级资产支持证券”本金和利息支付完成之后，“受托人”应于下一个“信托分配日”指令“资金保管机构”将“信托（服务转移和通知）储备账户”中的全部剩余金额（如有）转入“收益账”。</w:t>
      </w:r>
    </w:p>
    <w:p w14:paraId="244FD031">
      <w:pPr>
        <w:numPr>
          <w:ilvl w:val="0"/>
          <w:numId w:val="4"/>
        </w:numPr>
        <w:spacing w:before="156" w:beforeLines="50" w:after="156" w:afterLines="50" w:line="360" w:lineRule="auto"/>
        <w:outlineLvl w:val="0"/>
        <w:rPr>
          <w:rFonts w:eastAsia="楷体_GB2312"/>
          <w:b/>
          <w:bCs/>
          <w:sz w:val="24"/>
        </w:rPr>
      </w:pPr>
      <w:bookmarkStart w:id="366" w:name="_DV_M267"/>
      <w:bookmarkEnd w:id="366"/>
      <w:bookmarkStart w:id="367" w:name="_DV_M363"/>
      <w:bookmarkEnd w:id="367"/>
      <w:bookmarkStart w:id="368" w:name="_DV_M356"/>
      <w:bookmarkEnd w:id="368"/>
      <w:bookmarkStart w:id="369" w:name="_DV_M339"/>
      <w:bookmarkEnd w:id="369"/>
      <w:bookmarkStart w:id="370" w:name="_DV_M391"/>
      <w:bookmarkEnd w:id="370"/>
      <w:bookmarkStart w:id="371" w:name="_DV_M304"/>
      <w:bookmarkEnd w:id="371"/>
      <w:bookmarkStart w:id="372" w:name="_Toc148440814"/>
      <w:bookmarkEnd w:id="372"/>
      <w:bookmarkStart w:id="373" w:name="_Toc518577368"/>
      <w:bookmarkEnd w:id="373"/>
      <w:bookmarkStart w:id="374" w:name="_DV_M390"/>
      <w:bookmarkEnd w:id="374"/>
      <w:bookmarkStart w:id="375" w:name="_DV_M336"/>
      <w:bookmarkEnd w:id="375"/>
      <w:bookmarkStart w:id="376" w:name="_Toc148384224"/>
      <w:bookmarkEnd w:id="376"/>
      <w:bookmarkStart w:id="377" w:name="_Toc148384241"/>
      <w:bookmarkEnd w:id="377"/>
      <w:bookmarkStart w:id="378" w:name="_Toc110370665"/>
      <w:bookmarkEnd w:id="378"/>
      <w:bookmarkStart w:id="379" w:name="_Toc110370867"/>
      <w:bookmarkEnd w:id="379"/>
      <w:bookmarkStart w:id="380" w:name="_DV_M326"/>
      <w:bookmarkEnd w:id="380"/>
      <w:bookmarkStart w:id="381" w:name="_DV_M275"/>
      <w:bookmarkEnd w:id="381"/>
      <w:bookmarkStart w:id="382" w:name="_Toc149386481"/>
      <w:bookmarkEnd w:id="382"/>
      <w:bookmarkStart w:id="383" w:name="_Toc518635177"/>
      <w:bookmarkEnd w:id="383"/>
      <w:bookmarkStart w:id="384" w:name="_DV_M362"/>
      <w:bookmarkEnd w:id="384"/>
      <w:bookmarkStart w:id="385" w:name="_DV_M299"/>
      <w:bookmarkEnd w:id="385"/>
      <w:bookmarkStart w:id="386" w:name="_DV_M335"/>
      <w:bookmarkEnd w:id="386"/>
      <w:bookmarkStart w:id="387" w:name="_DV_M264"/>
      <w:bookmarkEnd w:id="387"/>
      <w:bookmarkStart w:id="388" w:name="_DV_M300"/>
      <w:bookmarkEnd w:id="388"/>
      <w:bookmarkStart w:id="389" w:name="_DV_M358"/>
      <w:bookmarkEnd w:id="389"/>
      <w:bookmarkStart w:id="390" w:name="_Toc518635246"/>
      <w:bookmarkEnd w:id="390"/>
      <w:bookmarkStart w:id="391" w:name="_Toc148440828"/>
      <w:bookmarkEnd w:id="391"/>
      <w:bookmarkStart w:id="392" w:name="_DV_M292"/>
      <w:bookmarkEnd w:id="392"/>
      <w:bookmarkStart w:id="393" w:name="_DV_M278"/>
      <w:bookmarkEnd w:id="393"/>
      <w:bookmarkStart w:id="394" w:name="_Toc518577530"/>
      <w:bookmarkEnd w:id="394"/>
      <w:bookmarkStart w:id="395" w:name="_DV_M348"/>
      <w:bookmarkEnd w:id="395"/>
      <w:bookmarkStart w:id="396" w:name="_DV_M272"/>
      <w:bookmarkEnd w:id="396"/>
      <w:bookmarkStart w:id="397" w:name="_DV_M301"/>
      <w:bookmarkEnd w:id="397"/>
      <w:bookmarkStart w:id="398" w:name="_DV_M357"/>
      <w:bookmarkEnd w:id="398"/>
      <w:bookmarkStart w:id="399" w:name="_DV_M302"/>
      <w:bookmarkEnd w:id="399"/>
      <w:bookmarkStart w:id="400" w:name="_DV_M303"/>
      <w:bookmarkEnd w:id="400"/>
      <w:bookmarkStart w:id="401" w:name="_DV_M306"/>
      <w:bookmarkEnd w:id="401"/>
      <w:bookmarkStart w:id="402" w:name="_Toc146989600"/>
      <w:bookmarkEnd w:id="402"/>
      <w:bookmarkStart w:id="403" w:name="_DV_M281"/>
      <w:bookmarkEnd w:id="403"/>
      <w:bookmarkStart w:id="404" w:name="_DV_M389"/>
      <w:bookmarkEnd w:id="404"/>
      <w:bookmarkStart w:id="405" w:name="_DV_M323"/>
      <w:bookmarkEnd w:id="405"/>
      <w:bookmarkStart w:id="406" w:name="_DV_M276"/>
      <w:bookmarkEnd w:id="406"/>
      <w:bookmarkStart w:id="407" w:name="_DV_M297"/>
      <w:bookmarkEnd w:id="407"/>
      <w:bookmarkStart w:id="408" w:name="_DV_M338"/>
      <w:bookmarkEnd w:id="408"/>
      <w:bookmarkStart w:id="409" w:name="_DV_M265"/>
      <w:bookmarkEnd w:id="409"/>
      <w:bookmarkStart w:id="410" w:name="_DV_M305"/>
      <w:bookmarkEnd w:id="410"/>
      <w:bookmarkStart w:id="411" w:name="_DV_M280"/>
      <w:bookmarkEnd w:id="411"/>
      <w:bookmarkStart w:id="412" w:name="_DV_M279"/>
      <w:bookmarkEnd w:id="412"/>
      <w:bookmarkStart w:id="413" w:name="_Toc518577577"/>
      <w:bookmarkEnd w:id="413"/>
      <w:bookmarkStart w:id="414" w:name="_DV_M298"/>
      <w:bookmarkEnd w:id="414"/>
      <w:bookmarkStart w:id="415" w:name="_DV_M324"/>
      <w:bookmarkEnd w:id="415"/>
      <w:bookmarkStart w:id="416" w:name="_DV_M273"/>
      <w:bookmarkEnd w:id="416"/>
      <w:bookmarkStart w:id="417" w:name="_DV_M359"/>
      <w:bookmarkEnd w:id="417"/>
      <w:bookmarkStart w:id="418" w:name="_DV_M277"/>
      <w:bookmarkEnd w:id="418"/>
      <w:bookmarkStart w:id="419" w:name="_DV_M337"/>
      <w:bookmarkEnd w:id="419"/>
      <w:bookmarkStart w:id="420" w:name="_DV_M388"/>
      <w:bookmarkEnd w:id="420"/>
      <w:bookmarkStart w:id="421" w:name="_DV_M325"/>
      <w:bookmarkEnd w:id="421"/>
      <w:bookmarkStart w:id="422" w:name="_Toc107769481"/>
      <w:bookmarkEnd w:id="422"/>
      <w:bookmarkStart w:id="423" w:name="_Toc402883942"/>
      <w:bookmarkStart w:id="424" w:name="_Toc110153443"/>
      <w:bookmarkStart w:id="425" w:name="_Toc111281800"/>
      <w:bookmarkStart w:id="426" w:name="_Toc221382855"/>
      <w:r>
        <w:rPr>
          <w:rFonts w:eastAsia="楷体_GB2312"/>
          <w:b/>
          <w:bCs/>
          <w:sz w:val="24"/>
        </w:rPr>
        <w:t>信托财产的管理办法及</w:t>
      </w:r>
      <w:bookmarkEnd w:id="423"/>
      <w:bookmarkEnd w:id="424"/>
      <w:bookmarkEnd w:id="425"/>
      <w:bookmarkStart w:id="427" w:name="_Toc92612931"/>
      <w:r>
        <w:rPr>
          <w:rFonts w:eastAsia="楷体_GB2312"/>
          <w:b/>
          <w:sz w:val="24"/>
        </w:rPr>
        <w:t>接受受托机构委托代理信托事务的机构的职责</w:t>
      </w:r>
      <w:bookmarkEnd w:id="426"/>
    </w:p>
    <w:bookmarkEnd w:id="427"/>
    <w:p w14:paraId="24F2C0B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428" w:name="_Toc110153444"/>
      <w:bookmarkStart w:id="429" w:name="_Toc111281801"/>
      <w:r>
        <w:rPr>
          <w:rFonts w:eastAsia="楷体_GB2312"/>
          <w:b/>
          <w:sz w:val="24"/>
        </w:rPr>
        <w:t>“信托财产”的管理办法</w:t>
      </w:r>
      <w:bookmarkEnd w:id="428"/>
      <w:bookmarkEnd w:id="429"/>
    </w:p>
    <w:p w14:paraId="0FD903CE">
      <w:pPr>
        <w:spacing w:line="360" w:lineRule="auto"/>
        <w:ind w:left="992"/>
        <w:rPr>
          <w:rFonts w:eastAsia="楷体_GB2312"/>
          <w:sz w:val="24"/>
        </w:rPr>
      </w:pPr>
      <w:r>
        <w:rPr>
          <w:rFonts w:eastAsia="楷体_GB2312"/>
          <w:sz w:val="24"/>
        </w:rPr>
        <w:t>除本合同另有约定外，“受托人”应按照如下管理办法履行其管理职责：</w:t>
      </w:r>
    </w:p>
    <w:p w14:paraId="1373B3F4">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rPr>
        <w:t>“受</w:t>
      </w:r>
      <w:r>
        <w:rPr>
          <w:rFonts w:eastAsia="楷体_GB2312"/>
          <w:sz w:val="24"/>
          <w:lang w:val="en-GB"/>
        </w:rPr>
        <w:t>托人”应将“信托财产”与其固有财产分别管理、分别记账，并与其管理的其他“信托财产”分别管理、分别记账。</w:t>
      </w:r>
    </w:p>
    <w:p w14:paraId="58CB615E">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“受托人”应按本合同约定的方式，管理、处分“信托财产”，以实现</w:t>
      </w:r>
      <w:r>
        <w:rPr>
          <w:rFonts w:eastAsia="楷体_GB2312"/>
          <w:sz w:val="24"/>
        </w:rPr>
        <w:t>“受益人”</w:t>
      </w:r>
      <w:r>
        <w:rPr>
          <w:rFonts w:eastAsia="楷体_GB2312"/>
          <w:sz w:val="24"/>
          <w:lang w:val="en-GB"/>
        </w:rPr>
        <w:t>利益最大化。</w:t>
      </w:r>
    </w:p>
    <w:p w14:paraId="0D63492A">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“受托人”应按本合同的约定，选择并委托“贷款服务机构”代为管理、运用、处分“信托财产”，并对其管理、运用、处分行为进行监督。</w:t>
      </w:r>
    </w:p>
    <w:p w14:paraId="34FA86F5">
      <w:pPr>
        <w:numPr>
          <w:ilvl w:val="2"/>
          <w:numId w:val="4"/>
        </w:numPr>
        <w:tabs>
          <w:tab w:val="left" w:pos="1843"/>
        </w:tabs>
        <w:spacing w:before="156" w:beforeLines="50" w:after="156" w:afterLines="50" w:line="360" w:lineRule="auto"/>
        <w:ind w:left="1843" w:hanging="850"/>
        <w:rPr>
          <w:rFonts w:eastAsia="楷体_GB2312"/>
          <w:sz w:val="24"/>
          <w:lang w:val="en-GB"/>
        </w:rPr>
      </w:pPr>
      <w:bookmarkStart w:id="430" w:name="_Ref221382521"/>
      <w:r>
        <w:rPr>
          <w:rFonts w:eastAsia="楷体_GB2312"/>
          <w:sz w:val="24"/>
          <w:lang w:val="en-GB"/>
        </w:rPr>
        <w:t>“受托人”应按本合同的约定，选择并委托“资金保管机构”对“信托账户”内资金进行保管，并对其保管、支付行为进行监督。</w:t>
      </w:r>
      <w:bookmarkEnd w:id="430"/>
    </w:p>
    <w:p w14:paraId="0A182F69">
      <w:pPr>
        <w:numPr>
          <w:ilvl w:val="2"/>
          <w:numId w:val="4"/>
        </w:numPr>
        <w:tabs>
          <w:tab w:val="left" w:pos="1843"/>
        </w:tabs>
        <w:spacing w:before="156" w:beforeLines="50" w:after="156" w:afterLines="50" w:line="360" w:lineRule="auto"/>
        <w:ind w:left="1843" w:hanging="850"/>
        <w:rPr>
          <w:rFonts w:eastAsia="楷体_GB2312"/>
          <w:sz w:val="24"/>
        </w:rPr>
      </w:pPr>
      <w:r>
        <w:rPr>
          <w:rFonts w:eastAsia="楷体_GB2312"/>
          <w:sz w:val="24"/>
          <w:lang w:val="en-GB"/>
        </w:rPr>
        <w:t>“受托人”应</w:t>
      </w:r>
      <w:r>
        <w:rPr>
          <w:rFonts w:eastAsia="楷体_GB2312"/>
          <w:sz w:val="24"/>
        </w:rPr>
        <w:t>按本合同约定向“受益人”支付“信托利益”。</w:t>
      </w:r>
    </w:p>
    <w:p w14:paraId="5CDF90C8">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rPr>
        <w:t>“受托</w:t>
      </w:r>
      <w:r>
        <w:rPr>
          <w:rFonts w:eastAsia="楷体_GB2312"/>
          <w:sz w:val="24"/>
          <w:lang w:val="en-GB"/>
        </w:rPr>
        <w:t>人”应按本合同约定和相关“中国”“法律”，向“委托人”或“受益人”</w:t>
      </w:r>
      <w:r>
        <w:rPr>
          <w:rFonts w:eastAsia="楷体_GB2312"/>
          <w:sz w:val="24"/>
        </w:rPr>
        <w:t>进行</w:t>
      </w:r>
      <w:r>
        <w:rPr>
          <w:rFonts w:eastAsia="楷体_GB2312"/>
          <w:sz w:val="24"/>
          <w:lang w:val="en-GB"/>
        </w:rPr>
        <w:t>信息披露。</w:t>
      </w:r>
    </w:p>
    <w:p w14:paraId="07C226FF">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“受托人”应履行所适用的“中国”“法律”规定的和本合同约定的其他管理职责。</w:t>
      </w:r>
    </w:p>
    <w:p w14:paraId="3E5EAC0D">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431" w:name="_Toc111281802"/>
      <w:r>
        <w:rPr>
          <w:rFonts w:eastAsia="楷体_GB2312"/>
          <w:b/>
          <w:sz w:val="24"/>
        </w:rPr>
        <w:t>贷款服务机构的委托及贷款管理职责</w:t>
      </w:r>
      <w:bookmarkEnd w:id="431"/>
    </w:p>
    <w:p w14:paraId="50FB3707">
      <w:pPr>
        <w:numPr>
          <w:ilvl w:val="2"/>
          <w:numId w:val="4"/>
        </w:numPr>
        <w:tabs>
          <w:tab w:val="left" w:pos="1701"/>
        </w:tabs>
        <w:spacing w:before="156" w:beforeLines="50" w:after="156" w:afterLines="50" w:line="360" w:lineRule="auto"/>
        <w:ind w:left="1843" w:hanging="851"/>
        <w:rPr>
          <w:rFonts w:eastAsia="楷体_GB2312"/>
          <w:b/>
          <w:sz w:val="24"/>
        </w:rPr>
      </w:pPr>
      <w:r>
        <w:rPr>
          <w:rFonts w:eastAsia="楷体_GB2312"/>
          <w:b/>
          <w:bCs/>
          <w:sz w:val="24"/>
          <w:lang w:val="en-GB"/>
        </w:rPr>
        <w:t>委托</w:t>
      </w:r>
      <w:r>
        <w:rPr>
          <w:rFonts w:eastAsia="楷体_GB2312"/>
          <w:b/>
          <w:bCs/>
          <w:sz w:val="24"/>
        </w:rPr>
        <w:t>“</w:t>
      </w:r>
      <w:r>
        <w:rPr>
          <w:rFonts w:eastAsia="楷体_GB2312"/>
          <w:b/>
          <w:bCs/>
          <w:sz w:val="24"/>
          <w:lang w:val="en-GB"/>
        </w:rPr>
        <w:t>贷款</w:t>
      </w:r>
      <w:r>
        <w:rPr>
          <w:rFonts w:eastAsia="楷体_GB2312"/>
          <w:b/>
          <w:sz w:val="24"/>
        </w:rPr>
        <w:t>服务机构”及其职责</w:t>
      </w:r>
    </w:p>
    <w:p w14:paraId="507AEC3F">
      <w:pPr>
        <w:spacing w:before="156" w:beforeLines="50" w:after="156" w:afterLines="50" w:line="360" w:lineRule="auto"/>
        <w:ind w:left="1843"/>
        <w:rPr>
          <w:rFonts w:eastAsia="楷体_GB2312"/>
          <w:sz w:val="24"/>
        </w:rPr>
      </w:pPr>
      <w:r>
        <w:rPr>
          <w:rFonts w:eastAsia="楷体_GB2312"/>
          <w:sz w:val="24"/>
        </w:rPr>
        <w:t>为有利于实现信托目的，“受托人”有权选择并委托服务机构，代为管理、处分“信托”项下的“信贷资产”。“信托”设立时，“受托人”委托“【发起机构简称】”担任“信贷资产”的“贷款服务机构”。“信贷资产”管理的具体事宜，由“受托人”与“贷款服务机构”另行签署“《服务合同》”予以约定。“贷款服务机构”根据“《服务合同》”的约定履行贷款事项的管理、收取贷款本息、“违约贷款”处置、文件保管、提供“贷款服务机构报告”等与“信贷资产”管理有关的职责。</w:t>
      </w:r>
    </w:p>
    <w:p w14:paraId="16C60B86">
      <w:pPr>
        <w:numPr>
          <w:ilvl w:val="2"/>
          <w:numId w:val="4"/>
        </w:numPr>
        <w:tabs>
          <w:tab w:val="left" w:pos="1701"/>
        </w:tabs>
        <w:spacing w:before="156" w:beforeLines="50" w:after="156" w:afterLines="50" w:line="360" w:lineRule="auto"/>
        <w:ind w:left="1843" w:hanging="851"/>
        <w:rPr>
          <w:rFonts w:eastAsia="楷体_GB2312"/>
          <w:b/>
          <w:kern w:val="0"/>
          <w:sz w:val="24"/>
        </w:rPr>
      </w:pPr>
      <w:r>
        <w:rPr>
          <w:rFonts w:eastAsia="楷体_GB2312"/>
          <w:b/>
          <w:sz w:val="24"/>
        </w:rPr>
        <w:t>“贷款服务</w:t>
      </w:r>
      <w:r>
        <w:rPr>
          <w:rFonts w:eastAsia="楷体_GB2312"/>
          <w:b/>
          <w:kern w:val="0"/>
          <w:sz w:val="24"/>
        </w:rPr>
        <w:t>机构”的更换</w:t>
      </w:r>
    </w:p>
    <w:p w14:paraId="46B4D6F7">
      <w:pPr>
        <w:numPr>
          <w:ilvl w:val="0"/>
          <w:numId w:val="24"/>
        </w:numPr>
        <w:spacing w:before="156" w:beforeLines="50" w:after="156" w:afterLines="50" w:line="360" w:lineRule="auto"/>
        <w:ind w:left="2127"/>
        <w:rPr>
          <w:rFonts w:eastAsia="楷体_GB2312"/>
          <w:sz w:val="24"/>
        </w:rPr>
      </w:pPr>
      <w:r>
        <w:rPr>
          <w:rFonts w:eastAsia="楷体_GB2312"/>
          <w:sz w:val="24"/>
        </w:rPr>
        <w:t>在发生“贷款服务机构解任事件”时，应更换“贷款服务机构”。“受托人”应在发生“贷款服务机构解任事件”后立即通知“资金保管机构”、“评级机构”以及所有“资产支持证券持有人”，并召集“资产支持证券持有人大会”。</w:t>
      </w:r>
    </w:p>
    <w:p w14:paraId="22A79FEB">
      <w:pPr>
        <w:numPr>
          <w:ilvl w:val="0"/>
          <w:numId w:val="24"/>
        </w:numPr>
        <w:spacing w:before="156" w:beforeLines="50" w:after="156" w:afterLines="50" w:line="360" w:lineRule="auto"/>
        <w:ind w:left="2127"/>
        <w:rPr>
          <w:rFonts w:eastAsia="楷体_GB2312"/>
          <w:kern w:val="0"/>
          <w:sz w:val="24"/>
        </w:rPr>
      </w:pPr>
      <w:r>
        <w:rPr>
          <w:rFonts w:eastAsia="楷体_GB2312"/>
          <w:kern w:val="0"/>
          <w:sz w:val="24"/>
        </w:rPr>
        <w:t>更换</w:t>
      </w:r>
      <w:r>
        <w:rPr>
          <w:rFonts w:eastAsia="楷体_GB2312"/>
          <w:sz w:val="24"/>
        </w:rPr>
        <w:t>“</w:t>
      </w:r>
      <w:r>
        <w:rPr>
          <w:rFonts w:eastAsia="楷体_GB2312"/>
          <w:kern w:val="0"/>
          <w:sz w:val="24"/>
        </w:rPr>
        <w:t>贷款服务机构</w:t>
      </w:r>
      <w:r>
        <w:rPr>
          <w:rFonts w:eastAsia="楷体_GB2312"/>
          <w:sz w:val="24"/>
        </w:rPr>
        <w:t>”</w:t>
      </w:r>
      <w:r>
        <w:rPr>
          <w:rFonts w:eastAsia="楷体_GB2312"/>
          <w:kern w:val="0"/>
          <w:sz w:val="24"/>
        </w:rPr>
        <w:t>的具体程序由</w:t>
      </w:r>
      <w:r>
        <w:rPr>
          <w:rFonts w:eastAsia="楷体_GB2312"/>
          <w:sz w:val="24"/>
        </w:rPr>
        <w:t>“</w:t>
      </w:r>
      <w:r>
        <w:rPr>
          <w:rFonts w:eastAsia="楷体_GB2312"/>
          <w:kern w:val="0"/>
          <w:sz w:val="24"/>
        </w:rPr>
        <w:t>受托人</w:t>
      </w:r>
      <w:r>
        <w:rPr>
          <w:rFonts w:eastAsia="楷体_GB2312"/>
          <w:sz w:val="24"/>
        </w:rPr>
        <w:t>”</w:t>
      </w:r>
      <w:r>
        <w:rPr>
          <w:rFonts w:eastAsia="楷体_GB2312"/>
          <w:kern w:val="0"/>
          <w:sz w:val="24"/>
        </w:rPr>
        <w:t>和</w:t>
      </w:r>
      <w:r>
        <w:rPr>
          <w:rFonts w:eastAsia="楷体_GB2312"/>
          <w:sz w:val="24"/>
        </w:rPr>
        <w:t>“</w:t>
      </w:r>
      <w:r>
        <w:rPr>
          <w:rFonts w:eastAsia="楷体_GB2312"/>
          <w:kern w:val="0"/>
          <w:sz w:val="24"/>
        </w:rPr>
        <w:t>贷款服务机构</w:t>
      </w:r>
      <w:r>
        <w:rPr>
          <w:rFonts w:eastAsia="楷体_GB2312"/>
          <w:sz w:val="24"/>
        </w:rPr>
        <w:t>”</w:t>
      </w:r>
      <w:r>
        <w:rPr>
          <w:rFonts w:eastAsia="楷体_GB2312"/>
          <w:kern w:val="0"/>
          <w:sz w:val="24"/>
        </w:rPr>
        <w:t>在</w:t>
      </w:r>
      <w:r>
        <w:rPr>
          <w:rFonts w:eastAsia="楷体_GB2312"/>
          <w:sz w:val="24"/>
        </w:rPr>
        <w:t>“《服务合同》”</w:t>
      </w:r>
      <w:r>
        <w:rPr>
          <w:rFonts w:eastAsia="楷体_GB2312"/>
          <w:kern w:val="0"/>
          <w:sz w:val="24"/>
        </w:rPr>
        <w:t>中具体约定。</w:t>
      </w:r>
    </w:p>
    <w:p w14:paraId="13AEBA37">
      <w:pPr>
        <w:spacing w:line="360" w:lineRule="auto"/>
        <w:ind w:left="1412" w:firstLine="268"/>
        <w:rPr>
          <w:rFonts w:eastAsia="楷体_GB2312"/>
          <w:color w:val="FF0000"/>
          <w:sz w:val="24"/>
        </w:rPr>
      </w:pPr>
      <w:r>
        <w:rPr>
          <w:rFonts w:eastAsia="楷体_GB2312"/>
          <w:b/>
          <w:bCs/>
          <w:i/>
          <w:iCs/>
          <w:color w:val="FF0000"/>
          <w:sz w:val="24"/>
        </w:rPr>
        <w:t>【注：贷款服务机构的相关权限可根据具体项目情况调整。】</w:t>
      </w:r>
    </w:p>
    <w:p w14:paraId="312A7A2B">
      <w:pPr>
        <w:numPr>
          <w:ilvl w:val="2"/>
          <w:numId w:val="4"/>
        </w:numPr>
        <w:tabs>
          <w:tab w:val="left" w:pos="1843"/>
        </w:tabs>
        <w:spacing w:before="156" w:beforeLines="50" w:after="156" w:afterLines="50" w:line="360" w:lineRule="auto"/>
        <w:ind w:left="1843" w:hanging="850"/>
        <w:rPr>
          <w:rFonts w:eastAsia="楷体_GB2312"/>
          <w:bCs/>
          <w:sz w:val="24"/>
        </w:rPr>
      </w:pPr>
      <w:bookmarkStart w:id="432" w:name="_Ref458955213"/>
      <w:bookmarkStart w:id="433" w:name="_Ref47872335"/>
      <w:bookmarkStart w:id="434" w:name="_Ref92193007"/>
      <w:r>
        <w:rPr>
          <w:rFonts w:eastAsia="楷体_GB2312"/>
          <w:bCs/>
          <w:sz w:val="24"/>
        </w:rPr>
        <w:t>如“</w:t>
      </w:r>
      <w:r>
        <w:rPr>
          <w:rFonts w:eastAsia="楷体_GB2312"/>
          <w:sz w:val="24"/>
        </w:rPr>
        <w:t>优先级</w:t>
      </w:r>
      <w:r>
        <w:rPr>
          <w:rFonts w:eastAsia="楷体_GB2312"/>
          <w:bCs/>
          <w:sz w:val="24"/>
        </w:rPr>
        <w:t>资产支持证券”本息全部清偿完毕，</w:t>
      </w:r>
      <w:r>
        <w:rPr>
          <w:rFonts w:eastAsia="楷体_GB2312"/>
          <w:sz w:val="24"/>
        </w:rPr>
        <w:t>如届时“贷款服务机构”同时为“次级资产支持证券持有人”，</w:t>
      </w:r>
      <w:r>
        <w:rPr>
          <w:rFonts w:eastAsia="楷体_GB2312"/>
          <w:bCs/>
          <w:sz w:val="24"/>
        </w:rPr>
        <w:t>则“贷款服务机构”可在“优先级资产支持证券”本金全部清偿完毕之日起【】日内提交针对全部或部分“信贷资产”的“资产处置方案”（不包括“清仓回购”，下同），“受托人”可根据具体情况选择以发送意见征求函或现场讨论或通讯讨论等方式向【全体“次级资产支持证券持有人”】征求意见。上述“资产处置方案”经全部“次级资产支持证券持有人”书面一致同意后方可执行。【全部“次级资产支持证券持有人”】应在“优先级资产支持证券”本金全部清偿完毕之日起【】日内对是否批准“贷款服务机构”所提“资产处置方案”作出决定。</w:t>
      </w:r>
      <w:bookmarkEnd w:id="432"/>
      <w:bookmarkEnd w:id="433"/>
    </w:p>
    <w:p w14:paraId="459D8136">
      <w:pPr>
        <w:spacing w:line="360" w:lineRule="auto"/>
        <w:ind w:left="1680"/>
        <w:rPr>
          <w:rFonts w:eastAsia="楷体_GB2312"/>
          <w:b/>
          <w:bCs/>
          <w:i/>
          <w:iCs/>
          <w:color w:val="FF0000"/>
          <w:sz w:val="24"/>
        </w:rPr>
      </w:pPr>
      <w:r>
        <w:rPr>
          <w:rFonts w:eastAsia="楷体_GB2312"/>
          <w:b/>
          <w:bCs/>
          <w:i/>
          <w:iCs/>
          <w:color w:val="FF0000"/>
          <w:sz w:val="24"/>
        </w:rPr>
        <w:t>【注：征求“资产处置方案”意见的表决权重根据项目的具体安排进行调整。】</w:t>
      </w:r>
      <w:bookmarkEnd w:id="434"/>
    </w:p>
    <w:p w14:paraId="4672DA4B">
      <w:pPr>
        <w:numPr>
          <w:ilvl w:val="2"/>
          <w:numId w:val="4"/>
        </w:numPr>
        <w:tabs>
          <w:tab w:val="left" w:pos="1843"/>
        </w:tabs>
        <w:spacing w:before="156" w:beforeLines="50" w:after="156" w:afterLines="50" w:line="360" w:lineRule="auto"/>
        <w:ind w:left="1843" w:hanging="850"/>
        <w:rPr>
          <w:rFonts w:eastAsia="楷体_GB2312"/>
          <w:bCs/>
          <w:sz w:val="24"/>
        </w:rPr>
      </w:pPr>
      <w:bookmarkStart w:id="435" w:name="_Ref458957606"/>
      <w:r>
        <w:rPr>
          <w:rFonts w:eastAsia="楷体_GB2312"/>
          <w:bCs/>
          <w:sz w:val="24"/>
        </w:rPr>
        <w:t>如“贷款服务机构”未按照前述第</w:t>
      </w:r>
      <w:r>
        <w:rPr>
          <w:rFonts w:eastAsia="楷体_GB2312"/>
          <w:bCs/>
          <w:sz w:val="24"/>
        </w:rPr>
        <w:fldChar w:fldCharType="begin"/>
      </w:r>
      <w:r>
        <w:rPr>
          <w:rFonts w:eastAsia="楷体_GB2312"/>
          <w:bCs/>
          <w:sz w:val="24"/>
        </w:rPr>
        <w:instrText xml:space="preserve"> REF _Ref47872335 \r \h  \* MERGEFORMAT </w:instrText>
      </w:r>
      <w:r>
        <w:rPr>
          <w:rFonts w:eastAsia="楷体_GB2312"/>
          <w:bCs/>
          <w:sz w:val="24"/>
        </w:rPr>
        <w:fldChar w:fldCharType="separate"/>
      </w:r>
      <w:r>
        <w:rPr>
          <w:rFonts w:eastAsia="楷体_GB2312"/>
          <w:bCs/>
          <w:sz w:val="24"/>
        </w:rPr>
        <w:t>11.2.3</w:t>
      </w:r>
      <w:r>
        <w:rPr>
          <w:rFonts w:eastAsia="楷体_GB2312"/>
          <w:bCs/>
          <w:sz w:val="24"/>
        </w:rPr>
        <w:fldChar w:fldCharType="end"/>
      </w:r>
      <w:r>
        <w:rPr>
          <w:rFonts w:eastAsia="楷体_GB2312"/>
          <w:bCs/>
          <w:sz w:val="24"/>
        </w:rPr>
        <w:t>款提出“资产处置方案”，或该“资产处置方案”未获批准，或该“资产处置方案”执行后仍有剩余“非现金信托财产”，且届时“贷款服务机构”同时为“次级资产支持证券持有人”，任一“次级资产支持证券持有人”有权向“受托人”提议且“受托人”亦有权自行提议对届时剩余全部“信托财产”进行原状分配。“受托人”可根据具体情况选择以发送意见征求函或现场讨论或通讯讨论等方式向全体“次级资产支持证券持有人”征求意见。“次级资产支持证券持有人”应及时（如为书面方式，则应在“受托人”指定的合理时间内）给出反馈意见。全体“次级资产支持证券持有人”就剩余全部“信托财产”的原状分配达成书面一致意见的，“信托”终止，“受托人”应按照本合同第</w:t>
      </w:r>
      <w:r>
        <w:rPr>
          <w:rFonts w:eastAsia="楷体_GB2312"/>
          <w:bCs/>
          <w:sz w:val="24"/>
        </w:rPr>
        <w:fldChar w:fldCharType="begin"/>
      </w:r>
      <w:r>
        <w:rPr>
          <w:rFonts w:eastAsia="楷体_GB2312"/>
          <w:bCs/>
          <w:sz w:val="24"/>
        </w:rPr>
        <w:instrText xml:space="preserve"> REF _Ref518643019 \r \h  \* MERGEFORMAT </w:instrText>
      </w:r>
      <w:r>
        <w:rPr>
          <w:rFonts w:eastAsia="楷体_GB2312"/>
          <w:bCs/>
          <w:sz w:val="24"/>
        </w:rPr>
        <w:fldChar w:fldCharType="separate"/>
      </w:r>
      <w:r>
        <w:rPr>
          <w:rFonts w:eastAsia="楷体_GB2312"/>
          <w:bCs/>
          <w:sz w:val="24"/>
        </w:rPr>
        <w:t>10.6</w:t>
      </w:r>
      <w:r>
        <w:rPr>
          <w:rFonts w:eastAsia="楷体_GB2312"/>
          <w:bCs/>
          <w:sz w:val="24"/>
        </w:rPr>
        <w:fldChar w:fldCharType="end"/>
      </w:r>
      <w:r>
        <w:rPr>
          <w:rFonts w:eastAsia="楷体_GB2312"/>
          <w:bCs/>
          <w:sz w:val="24"/>
        </w:rPr>
        <w:t>款约定的分配顺序及经全体“次级资产支持证券持有人”一致同意的“信托财产”原状分配方案对“信托财产”进行分配。</w:t>
      </w:r>
      <w:bookmarkEnd w:id="435"/>
    </w:p>
    <w:p w14:paraId="3F2D5BBE">
      <w:pPr>
        <w:numPr>
          <w:ilvl w:val="2"/>
          <w:numId w:val="4"/>
        </w:numPr>
        <w:tabs>
          <w:tab w:val="left" w:pos="1843"/>
        </w:tabs>
        <w:spacing w:before="156" w:beforeLines="50" w:after="156" w:afterLines="50" w:line="360" w:lineRule="auto"/>
        <w:ind w:left="1843" w:hanging="850"/>
        <w:rPr>
          <w:rFonts w:eastAsia="楷体_GB2312"/>
          <w:bCs/>
          <w:sz w:val="24"/>
        </w:rPr>
      </w:pPr>
      <w:bookmarkStart w:id="436" w:name="_Ref47870283"/>
      <w:r>
        <w:rPr>
          <w:rFonts w:eastAsia="楷体_GB2312"/>
          <w:bCs/>
          <w:sz w:val="24"/>
        </w:rPr>
        <w:t>如“贷款服务机构”未按照前述第</w:t>
      </w:r>
      <w:r>
        <w:rPr>
          <w:rFonts w:eastAsia="楷体_GB2312"/>
          <w:bCs/>
          <w:sz w:val="24"/>
        </w:rPr>
        <w:fldChar w:fldCharType="begin"/>
      </w:r>
      <w:r>
        <w:rPr>
          <w:rFonts w:eastAsia="楷体_GB2312"/>
          <w:bCs/>
          <w:sz w:val="24"/>
        </w:rPr>
        <w:instrText xml:space="preserve"> REF _Ref47872335 \r \h  \* MERGEFORMAT </w:instrText>
      </w:r>
      <w:r>
        <w:rPr>
          <w:rFonts w:eastAsia="楷体_GB2312"/>
          <w:bCs/>
          <w:sz w:val="24"/>
        </w:rPr>
        <w:fldChar w:fldCharType="separate"/>
      </w:r>
      <w:r>
        <w:rPr>
          <w:rFonts w:eastAsia="楷体_GB2312"/>
          <w:bCs/>
          <w:sz w:val="24"/>
        </w:rPr>
        <w:t>11.2.3</w:t>
      </w:r>
      <w:r>
        <w:rPr>
          <w:rFonts w:eastAsia="楷体_GB2312"/>
          <w:bCs/>
          <w:sz w:val="24"/>
        </w:rPr>
        <w:fldChar w:fldCharType="end"/>
      </w:r>
      <w:r>
        <w:rPr>
          <w:rFonts w:eastAsia="楷体_GB2312"/>
          <w:bCs/>
          <w:sz w:val="24"/>
        </w:rPr>
        <w:t>款提出“资产处置方案”，或该“资产处置方案”未获批准，或该“资产处置方案”执行后仍有剩余“非现金信托财产”，则“贷款服务机构”或任一“次级资产支持证券持有人”有权向“受托人”提出或“受托人”有权自行提出通过拍卖、向“贷款服务机构”、“次级资产支持证券持有人”或其他方转让等方式对全部“非现金信托财产”进行整体处置的方案（该等处置方案至少应包括处置方式和处置价格等关键要素）。“受托人”收到该等处置方案后或自行提出处置方案的，可根据具体情况选择以发送意见征求函或现场讨论或通讯讨论等方式向全体“次级资产支持证券持有人”征求意见。“次级资产支持证券持有人”应及时（如为书面方式，则应在受托人指定的合理时间内）给出反馈意见。“受托人”应按照经全体“次级资产支持证券持有人”达成一致的书面意见对“信托财产”进行处置。</w:t>
      </w:r>
      <w:bookmarkEnd w:id="436"/>
    </w:p>
    <w:p w14:paraId="4A256276">
      <w:pPr>
        <w:spacing w:before="156" w:beforeLines="50" w:after="156" w:afterLines="50" w:line="360" w:lineRule="auto"/>
        <w:ind w:left="1843"/>
        <w:rPr>
          <w:rFonts w:eastAsia="楷体_GB2312"/>
          <w:b/>
          <w:bCs/>
          <w:color w:val="FF0000"/>
          <w:sz w:val="24"/>
        </w:rPr>
      </w:pPr>
      <w:r>
        <w:rPr>
          <w:rFonts w:eastAsia="楷体_GB2312"/>
          <w:b/>
          <w:bCs/>
          <w:i/>
          <w:iCs/>
          <w:color w:val="FF0000"/>
          <w:kern w:val="0"/>
          <w:sz w:val="24"/>
        </w:rPr>
        <w:t>【注：资产处置方案和原状分配事宜根据具体项目的需要进行调整。】</w:t>
      </w:r>
    </w:p>
    <w:p w14:paraId="173F2BED">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437" w:name="_Toc110153446"/>
      <w:bookmarkStart w:id="438" w:name="_Toc111281803"/>
      <w:r>
        <w:rPr>
          <w:rFonts w:eastAsia="楷体_GB2312"/>
          <w:b/>
          <w:sz w:val="24"/>
        </w:rPr>
        <w:t>资金保管机构的委托及货币类信托财产的保管</w:t>
      </w:r>
      <w:bookmarkEnd w:id="437"/>
      <w:bookmarkEnd w:id="438"/>
    </w:p>
    <w:p w14:paraId="6D84DB84">
      <w:pPr>
        <w:numPr>
          <w:ilvl w:val="2"/>
          <w:numId w:val="4"/>
        </w:numPr>
        <w:tabs>
          <w:tab w:val="left" w:pos="1701"/>
        </w:tabs>
        <w:spacing w:before="156" w:beforeLines="50" w:after="156" w:afterLines="50" w:line="360" w:lineRule="auto"/>
        <w:ind w:left="1843" w:hanging="851"/>
        <w:rPr>
          <w:rFonts w:eastAsia="楷体_GB2312"/>
          <w:b/>
          <w:sz w:val="24"/>
        </w:rPr>
      </w:pPr>
      <w:r>
        <w:rPr>
          <w:rFonts w:eastAsia="楷体_GB2312"/>
          <w:b/>
          <w:sz w:val="24"/>
        </w:rPr>
        <w:t>委托资金保管机构及其职责</w:t>
      </w:r>
    </w:p>
    <w:p w14:paraId="1CE64E8B">
      <w:pPr>
        <w:spacing w:before="156" w:beforeLines="50" w:after="156" w:afterLines="50" w:line="360" w:lineRule="auto"/>
        <w:ind w:left="1843"/>
        <w:rPr>
          <w:rFonts w:eastAsia="楷体_GB2312"/>
          <w:sz w:val="24"/>
        </w:rPr>
      </w:pPr>
      <w:r>
        <w:rPr>
          <w:rFonts w:eastAsia="楷体_GB2312"/>
          <w:sz w:val="24"/>
        </w:rPr>
        <w:t>“受托人”应在“资金保管机构”开立“信托账户”，并委托“资金保管机构”对该账户内的资金进行保管。“受托人”与“资金保管机构”应就资金保管事宜另行签订“《资金保管合同》”，由“资金保管机构”负责监督“信托账户”内资金的使用。“资金保管机构”应根据“《资金保管合同》”的约定履行开立“信托账户”、保管“保管资金”、资金记账、划付“回收款”、“信托账户”结息、划付“保管资金”等与资金保管有关的职责。</w:t>
      </w:r>
    </w:p>
    <w:p w14:paraId="4A5FDA13">
      <w:pPr>
        <w:numPr>
          <w:ilvl w:val="2"/>
          <w:numId w:val="4"/>
        </w:numPr>
        <w:tabs>
          <w:tab w:val="left" w:pos="1701"/>
        </w:tabs>
        <w:spacing w:before="156" w:beforeLines="50" w:after="156" w:afterLines="50" w:line="360" w:lineRule="auto"/>
        <w:ind w:left="1843" w:hanging="851"/>
        <w:rPr>
          <w:rFonts w:eastAsia="楷体_GB2312"/>
          <w:b/>
          <w:sz w:val="24"/>
        </w:rPr>
      </w:pPr>
      <w:r>
        <w:rPr>
          <w:rFonts w:eastAsia="楷体_GB2312"/>
          <w:b/>
          <w:sz w:val="24"/>
        </w:rPr>
        <w:t>保管资金的合格投资</w:t>
      </w:r>
    </w:p>
    <w:p w14:paraId="5A3DF1DA">
      <w:pPr>
        <w:numPr>
          <w:ilvl w:val="0"/>
          <w:numId w:val="25"/>
        </w:numPr>
        <w:spacing w:before="156" w:beforeLines="50" w:after="156" w:afterLines="50" w:line="360" w:lineRule="auto"/>
        <w:ind w:left="2127"/>
        <w:rPr>
          <w:rFonts w:eastAsia="楷体_GB2312"/>
          <w:sz w:val="24"/>
        </w:rPr>
      </w:pPr>
      <w:r>
        <w:rPr>
          <w:rFonts w:eastAsia="楷体_GB2312"/>
          <w:sz w:val="24"/>
        </w:rPr>
        <w:t>“受托人”有权指示“资金保管机构”将“信托账户”中待分配的资金投资于“合格投资”。“收益账”、“本金账”、“税收专用账”、“信托（流动性）储备账户”和“信托（服务转移和通知）储备账户”项下的资金进行“合格投资”所回收的投资本金只能相应转入到支出投资本金的前述“信托账”项下。“受托人”应保存所有进行“合格投资”的记录。</w:t>
      </w:r>
    </w:p>
    <w:p w14:paraId="15742811">
      <w:pPr>
        <w:numPr>
          <w:ilvl w:val="0"/>
          <w:numId w:val="25"/>
        </w:numPr>
        <w:spacing w:before="156" w:beforeLines="50" w:after="156" w:afterLines="50" w:line="360" w:lineRule="auto"/>
        <w:ind w:left="2127"/>
        <w:rPr>
          <w:rFonts w:eastAsia="楷体_GB2312"/>
          <w:sz w:val="24"/>
        </w:rPr>
      </w:pPr>
      <w:bookmarkStart w:id="439" w:name="OLE_LINK1"/>
      <w:bookmarkStart w:id="440" w:name="_Ref185827624"/>
      <w:r>
        <w:rPr>
          <w:rFonts w:eastAsia="楷体_GB2312"/>
          <w:sz w:val="24"/>
        </w:rPr>
        <w:t>“收益账”、“本金账”、“税收专用账”、“信托（流动性）储备账户”和“信托（服务转移和通知）储备账户”项下资金</w:t>
      </w:r>
      <w:bookmarkEnd w:id="439"/>
      <w:r>
        <w:rPr>
          <w:rFonts w:eastAsia="楷体_GB2312"/>
          <w:sz w:val="24"/>
        </w:rPr>
        <w:t>的“合格投资”的全部投资收益构成“收入回收款”的一部分，应直接转入“收益账”，如果“受托人”收到该投资收益的退税款项，应将该款项作为“收入回收款”存入“收益账”。</w:t>
      </w:r>
      <w:bookmarkEnd w:id="440"/>
    </w:p>
    <w:p w14:paraId="2431CEEC">
      <w:pPr>
        <w:numPr>
          <w:ilvl w:val="0"/>
          <w:numId w:val="25"/>
        </w:numPr>
        <w:spacing w:before="156" w:beforeLines="50" w:after="156" w:afterLines="50" w:line="360" w:lineRule="auto"/>
        <w:ind w:left="2127"/>
        <w:rPr>
          <w:rFonts w:eastAsia="楷体_GB2312"/>
          <w:sz w:val="24"/>
        </w:rPr>
      </w:pPr>
      <w:bookmarkStart w:id="441" w:name="_Ref185827627"/>
      <w:r>
        <w:rPr>
          <w:rFonts w:eastAsia="楷体_GB2312"/>
          <w:sz w:val="24"/>
        </w:rPr>
        <w:t>“信托账户”内的资金进行投资所得的投资收益应于每个“信托分配日”按照本合同第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条的约定使用。</w:t>
      </w:r>
      <w:bookmarkEnd w:id="441"/>
    </w:p>
    <w:p w14:paraId="25DBF6CC">
      <w:pPr>
        <w:numPr>
          <w:ilvl w:val="0"/>
          <w:numId w:val="25"/>
        </w:numPr>
        <w:spacing w:before="156" w:beforeLines="50" w:after="156" w:afterLines="50" w:line="360" w:lineRule="auto"/>
        <w:ind w:left="2127"/>
        <w:rPr>
          <w:rFonts w:eastAsia="楷体_GB2312"/>
          <w:sz w:val="24"/>
        </w:rPr>
      </w:pPr>
      <w:r>
        <w:rPr>
          <w:rFonts w:eastAsia="楷体_GB2312"/>
          <w:sz w:val="24"/>
        </w:rPr>
        <w:t>如果一项投资不再是“合格投资”，“受托人”应事先通知“评级机构”，于实际可行时尽快清算该投资，并将所得款项再投资于“合格投资”。</w:t>
      </w:r>
    </w:p>
    <w:p w14:paraId="0297B965">
      <w:pPr>
        <w:numPr>
          <w:ilvl w:val="0"/>
          <w:numId w:val="25"/>
        </w:numPr>
        <w:spacing w:before="156" w:beforeLines="50" w:after="156" w:afterLines="50" w:line="360" w:lineRule="auto"/>
        <w:ind w:left="2127"/>
        <w:rPr>
          <w:rFonts w:eastAsia="楷体_GB2312"/>
          <w:sz w:val="24"/>
        </w:rPr>
      </w:pPr>
      <w:r>
        <w:rPr>
          <w:rFonts w:eastAsia="楷体_GB2312"/>
          <w:sz w:val="24"/>
        </w:rPr>
        <w:t>只要“受托人”指示“资金保管机构”将“信托账户”中的资金投资于“合格投资”，“资金保管机构”按照“《资金保管合同》”的约定将“信托账户”中的资金用于“合格投资”，则“资金保管机构”和“受托人”对于因价值贬损或该等“合格投资”造成的任何损失不承担责任，对于该等投资的回报少于采用其他形式投资或向其他机构投资所得的回报也不承担责任。</w:t>
      </w:r>
    </w:p>
    <w:p w14:paraId="11AFFD89">
      <w:pPr>
        <w:numPr>
          <w:ilvl w:val="2"/>
          <w:numId w:val="4"/>
        </w:numPr>
        <w:tabs>
          <w:tab w:val="left" w:pos="1701"/>
        </w:tabs>
        <w:spacing w:before="156" w:beforeLines="50" w:after="156" w:afterLines="50" w:line="360" w:lineRule="auto"/>
        <w:ind w:left="1843" w:hanging="851"/>
        <w:rPr>
          <w:rFonts w:eastAsia="楷体_GB2312"/>
          <w:b/>
          <w:kern w:val="0"/>
          <w:sz w:val="24"/>
        </w:rPr>
      </w:pPr>
      <w:r>
        <w:rPr>
          <w:rFonts w:eastAsia="楷体_GB2312"/>
          <w:b/>
          <w:kern w:val="0"/>
          <w:sz w:val="24"/>
        </w:rPr>
        <w:t>资金保管</w:t>
      </w:r>
      <w:r>
        <w:rPr>
          <w:rFonts w:eastAsia="楷体_GB2312"/>
          <w:b/>
          <w:sz w:val="24"/>
        </w:rPr>
        <w:t>机构</w:t>
      </w:r>
      <w:r>
        <w:rPr>
          <w:rFonts w:eastAsia="楷体_GB2312"/>
          <w:b/>
          <w:kern w:val="0"/>
          <w:sz w:val="24"/>
        </w:rPr>
        <w:t>的更换</w:t>
      </w:r>
    </w:p>
    <w:p w14:paraId="279E19D6">
      <w:pPr>
        <w:numPr>
          <w:ilvl w:val="0"/>
          <w:numId w:val="26"/>
        </w:numPr>
        <w:spacing w:before="156" w:beforeLines="50" w:after="156" w:afterLines="50" w:line="360" w:lineRule="auto"/>
        <w:ind w:left="2127"/>
        <w:rPr>
          <w:rFonts w:eastAsia="楷体_GB2312"/>
          <w:sz w:val="24"/>
        </w:rPr>
      </w:pPr>
      <w:r>
        <w:rPr>
          <w:rFonts w:eastAsia="楷体_GB2312"/>
          <w:sz w:val="24"/>
        </w:rPr>
        <w:t>在“资金保管机构”发生“资金保管机构解任事件”时，应更换“资金保管机构”。“受托人”应在发生“资金保管机构解任事件”后立即通知“贷款服务机构”、“评级机构”以及所有“资产支持证券持有人”，并召集“资产支持证券持有人大会”。</w:t>
      </w:r>
    </w:p>
    <w:p w14:paraId="7751DF89">
      <w:pPr>
        <w:numPr>
          <w:ilvl w:val="0"/>
          <w:numId w:val="26"/>
        </w:numPr>
        <w:spacing w:before="156" w:beforeLines="50" w:after="156" w:afterLines="50" w:line="360" w:lineRule="auto"/>
        <w:ind w:left="2127"/>
        <w:rPr>
          <w:rFonts w:eastAsia="楷体_GB2312"/>
          <w:sz w:val="24"/>
        </w:rPr>
      </w:pPr>
      <w:r>
        <w:rPr>
          <w:rFonts w:eastAsia="楷体_GB2312"/>
          <w:sz w:val="24"/>
        </w:rPr>
        <w:t>更换“资金保管机构”的具体程序由“受托人”和“资金保管机构”在“《资金保管合同》”中具体约定。</w:t>
      </w:r>
    </w:p>
    <w:p w14:paraId="1AF97ED6">
      <w:pPr>
        <w:spacing w:before="156" w:beforeLines="50" w:after="156" w:afterLines="50" w:line="360" w:lineRule="auto"/>
        <w:ind w:left="840"/>
        <w:rPr>
          <w:rFonts w:eastAsia="楷体_GB2312"/>
          <w:b/>
          <w:bCs/>
          <w:i/>
          <w:iCs/>
          <w:color w:val="FF0000"/>
          <w:sz w:val="24"/>
        </w:rPr>
      </w:pPr>
      <w:r>
        <w:rPr>
          <w:rFonts w:eastAsia="楷体_GB2312"/>
          <w:b/>
          <w:bCs/>
          <w:i/>
          <w:iCs/>
          <w:color w:val="FF0000"/>
          <w:sz w:val="24"/>
        </w:rPr>
        <w:t>【注：接受受托机构委托代理信托事务的机构的职责可以结合项目实际情况补充或调整。】</w:t>
      </w:r>
    </w:p>
    <w:p w14:paraId="70839927">
      <w:pPr>
        <w:numPr>
          <w:ilvl w:val="0"/>
          <w:numId w:val="4"/>
        </w:numPr>
        <w:spacing w:before="156" w:beforeLines="50" w:after="156" w:afterLines="50" w:line="360" w:lineRule="auto"/>
        <w:outlineLvl w:val="0"/>
        <w:rPr>
          <w:rFonts w:eastAsia="楷体_GB2312"/>
          <w:b/>
          <w:sz w:val="24"/>
        </w:rPr>
      </w:pPr>
      <w:bookmarkStart w:id="442" w:name="_Toc519160306"/>
      <w:bookmarkEnd w:id="442"/>
      <w:bookmarkStart w:id="443" w:name="_Ref432773715"/>
      <w:bookmarkStart w:id="444" w:name="_Toc221382856"/>
      <w:bookmarkStart w:id="445" w:name="_Toc402883943"/>
      <w:bookmarkStart w:id="446" w:name="_Toc110153447"/>
      <w:bookmarkStart w:id="447" w:name="_Toc111281804"/>
      <w:r>
        <w:rPr>
          <w:rFonts w:eastAsia="楷体_GB2312"/>
          <w:b/>
          <w:sz w:val="24"/>
        </w:rPr>
        <w:t>不合格信贷资产的赎回</w:t>
      </w:r>
      <w:bookmarkEnd w:id="443"/>
      <w:bookmarkEnd w:id="444"/>
    </w:p>
    <w:p w14:paraId="03975CF7">
      <w:pPr>
        <w:numPr>
          <w:ilvl w:val="1"/>
          <w:numId w:val="4"/>
        </w:numPr>
        <w:tabs>
          <w:tab w:val="left" w:pos="992"/>
        </w:tabs>
        <w:spacing w:before="156" w:beforeLines="50" w:after="156" w:afterLines="50" w:line="360" w:lineRule="auto"/>
        <w:ind w:left="992" w:hanging="567"/>
        <w:rPr>
          <w:rFonts w:eastAsia="楷体_GB2312"/>
          <w:b/>
          <w:sz w:val="24"/>
        </w:rPr>
      </w:pPr>
      <w:bookmarkStart w:id="448" w:name="_Ref432777082"/>
      <w:bookmarkStart w:id="449" w:name="_Hlk507251901"/>
      <w:r>
        <w:rPr>
          <w:rFonts w:eastAsia="楷体_GB2312"/>
          <w:b/>
          <w:sz w:val="24"/>
        </w:rPr>
        <w:t>不合格信贷资产的赎回通知</w:t>
      </w:r>
      <w:bookmarkEnd w:id="448"/>
    </w:p>
    <w:p w14:paraId="60D62381">
      <w:pPr>
        <w:tabs>
          <w:tab w:val="left" w:pos="1571"/>
        </w:tabs>
        <w:spacing w:before="156" w:beforeLines="50" w:after="156" w:afterLines="50" w:line="360" w:lineRule="auto"/>
        <w:ind w:left="992"/>
        <w:rPr>
          <w:rFonts w:eastAsia="楷体_GB2312"/>
          <w:sz w:val="24"/>
        </w:rPr>
      </w:pPr>
      <w:r>
        <w:rPr>
          <w:rFonts w:eastAsia="楷体_GB2312"/>
          <w:sz w:val="24"/>
        </w:rPr>
        <w:t>在“信托期限”内，如“委托人”、“受托人”或者“贷款服务机构”发现任何“不合格信贷资产”，则发现该情形的一方应立即书面通知前述其他方。“委托人”应：(1)将出现上述情形的原因（如果“委托人”知道该原因）提供给“受托人”和“评级机构”；并应(2)在重大方面纠正该等情形，如该情形在通知后【】日内不能被纠正的，“委托人”应按第</w:t>
      </w:r>
      <w:r>
        <w:rPr>
          <w:rFonts w:eastAsia="楷体_GB2312"/>
          <w:sz w:val="24"/>
        </w:rPr>
        <w:fldChar w:fldCharType="begin"/>
      </w:r>
      <w:r>
        <w:rPr>
          <w:rFonts w:eastAsia="楷体_GB2312"/>
          <w:sz w:val="24"/>
        </w:rPr>
        <w:instrText xml:space="preserve"> REF _Ref432776988 \r \h  \* MERGEFORMAT </w:instrText>
      </w:r>
      <w:r>
        <w:rPr>
          <w:rFonts w:eastAsia="楷体_GB2312"/>
          <w:sz w:val="24"/>
        </w:rPr>
        <w:fldChar w:fldCharType="separate"/>
      </w:r>
      <w:r>
        <w:rPr>
          <w:rFonts w:eastAsia="楷体_GB2312"/>
          <w:sz w:val="24"/>
        </w:rPr>
        <w:t>12.2</w:t>
      </w:r>
      <w:r>
        <w:rPr>
          <w:rFonts w:eastAsia="楷体_GB2312"/>
          <w:sz w:val="24"/>
        </w:rPr>
        <w:fldChar w:fldCharType="end"/>
      </w:r>
      <w:r>
        <w:rPr>
          <w:rFonts w:eastAsia="楷体_GB2312"/>
          <w:sz w:val="24"/>
        </w:rPr>
        <w:t>款约定向“受托人”赎回相应“信贷资产”。</w:t>
      </w:r>
      <w:bookmarkEnd w:id="449"/>
    </w:p>
    <w:p w14:paraId="121CF969">
      <w:pPr>
        <w:tabs>
          <w:tab w:val="left" w:pos="1571"/>
        </w:tabs>
        <w:spacing w:before="156" w:beforeLines="50" w:after="156" w:afterLines="50" w:line="360" w:lineRule="auto"/>
        <w:ind w:left="992"/>
        <w:rPr>
          <w:rFonts w:eastAsia="楷体_GB2312"/>
          <w:b/>
          <w:bCs/>
          <w:i/>
          <w:iCs/>
          <w:color w:val="FF0000"/>
          <w:sz w:val="24"/>
        </w:rPr>
      </w:pPr>
      <w:r>
        <w:rPr>
          <w:rFonts w:eastAsia="楷体_GB2312"/>
          <w:b/>
          <w:bCs/>
          <w:i/>
          <w:iCs/>
          <w:color w:val="FF0000"/>
          <w:sz w:val="24"/>
        </w:rPr>
        <w:t>【注：不合格信贷资产的赎回通知安排可以根据具体项目调整。】</w:t>
      </w:r>
    </w:p>
    <w:p w14:paraId="7C98FA0C">
      <w:pPr>
        <w:numPr>
          <w:ilvl w:val="1"/>
          <w:numId w:val="4"/>
        </w:numPr>
        <w:tabs>
          <w:tab w:val="left" w:pos="992"/>
        </w:tabs>
        <w:spacing w:before="156" w:beforeLines="50" w:after="156" w:afterLines="50" w:line="360" w:lineRule="auto"/>
        <w:ind w:left="992" w:hanging="567"/>
        <w:rPr>
          <w:rFonts w:eastAsia="楷体_GB2312"/>
          <w:b/>
          <w:sz w:val="24"/>
        </w:rPr>
      </w:pPr>
      <w:bookmarkStart w:id="450" w:name="_Ref432776988"/>
      <w:r>
        <w:rPr>
          <w:rFonts w:eastAsia="楷体_GB2312"/>
          <w:b/>
          <w:sz w:val="24"/>
        </w:rPr>
        <w:t>不合格信贷资产的赎回</w:t>
      </w:r>
      <w:bookmarkEnd w:id="450"/>
    </w:p>
    <w:p w14:paraId="13BD9473">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在“受托人”要求“委托人”“赎回”“不合格信贷资产”的情况下，“委托人”应于发出“赎回”“不合格信贷资产”通知所在的“收款期间”后的第一个“回收款转付日”（如该日不是“工作日”，则为该日后第一个“工作日”），将等同于待“赎回”全部“不合格信贷资产”的“赎回价格”的款项一次性全额划付到“信托账户”。</w:t>
      </w:r>
    </w:p>
    <w:p w14:paraId="6AF4BD71">
      <w:pPr>
        <w:spacing w:before="156" w:beforeLines="50" w:after="156" w:afterLines="50" w:line="360" w:lineRule="auto"/>
        <w:ind w:left="1843"/>
        <w:outlineLvl w:val="1"/>
        <w:rPr>
          <w:rFonts w:eastAsia="楷体_GB2312"/>
          <w:b/>
          <w:color w:val="FF0000"/>
          <w:sz w:val="24"/>
        </w:rPr>
      </w:pPr>
      <w:r>
        <w:rPr>
          <w:rFonts w:eastAsia="楷体_GB2312"/>
          <w:b/>
          <w:i/>
          <w:color w:val="FF0000"/>
          <w:sz w:val="24"/>
        </w:rPr>
        <w:t>【注：不合格资产赎回价款支付时间可根据项目情况进行调整。】</w:t>
      </w:r>
    </w:p>
    <w:p w14:paraId="4A1484B2">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在由“委托人”承担费用的前提下，“受托人”应：第一，在收到“委托人”“赎回”“不合格信贷资产”所支付的相当于“赎回价格”的资金后，立即将“受托人”自“回购起算日”起对该“不合格信贷资产”和相关“账户记录”的（现时的和未来的、实际的和或有的）权利、所有权、利益和收益（包括从相应的“回购起算日”起至“委托人”支付“赎回价格”资金的“回收款转付日”止的期间内，该“不合格信贷资产”产生的“回收款”。前述期间不含头含尾）全部转让给“委托人”；第二，指令“贷款服务机构”将相关“账户记录”交付给“委托人”；第三，按照“委托人”的合理意见，协助“委托人”办理必要的所有变更登记和通知手续（如有）。</w:t>
      </w:r>
    </w:p>
    <w:p w14:paraId="10338931">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在“委托人”从“受托人”处“赎回”相关“不合格信贷资产”并支付相当于“赎回价格”的资金后，“受托人”不应要求“委托人”再承担任何责任。“贷款服务机构”应于相应的“回购起算日”日终确定每笔相关“不合格信贷资产”的“赎回价格”，并在相应的“贷款服务机构报告”中加以说明。</w:t>
      </w:r>
    </w:p>
    <w:p w14:paraId="2422DF30">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在收到“委托人”“赎回”“不合格信贷资产”所支付的相当于“赎回价格”的资金后，“受托人”应将收到的前述资金相应记入“收益账”和“本金账”。</w:t>
      </w:r>
    </w:p>
    <w:p w14:paraId="68D90BBA">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从发现“不合格信贷资产”之日（含该日）起至“回购起算日”（含该日），该“不合格信贷资产”产生的全部“回收款”应视情况分别相应记入“收益账”和“本金账”。</w:t>
      </w:r>
    </w:p>
    <w:p w14:paraId="69A3CFDC">
      <w:pPr>
        <w:numPr>
          <w:ilvl w:val="1"/>
          <w:numId w:val="4"/>
        </w:numPr>
        <w:tabs>
          <w:tab w:val="left" w:pos="992"/>
        </w:tabs>
        <w:spacing w:before="156" w:beforeLines="50" w:after="156" w:afterLines="50" w:line="360" w:lineRule="auto"/>
        <w:ind w:left="992" w:hanging="567"/>
        <w:rPr>
          <w:rFonts w:eastAsia="楷体_GB2312"/>
          <w:bCs/>
          <w:sz w:val="24"/>
        </w:rPr>
      </w:pPr>
      <w:r>
        <w:rPr>
          <w:rFonts w:eastAsia="楷体_GB2312"/>
          <w:sz w:val="24"/>
        </w:rPr>
        <w:t>如果“委</w:t>
      </w:r>
      <w:r>
        <w:rPr>
          <w:rFonts w:eastAsia="楷体_GB2312"/>
          <w:bCs/>
          <w:sz w:val="24"/>
        </w:rPr>
        <w:t>托人”对“受托人”根据本合同第</w:t>
      </w:r>
      <w:r>
        <w:rPr>
          <w:rFonts w:eastAsia="楷体_GB2312"/>
          <w:sz w:val="24"/>
        </w:rPr>
        <w:fldChar w:fldCharType="begin"/>
      </w:r>
      <w:r>
        <w:rPr>
          <w:rFonts w:eastAsia="楷体_GB2312"/>
          <w:sz w:val="24"/>
        </w:rPr>
        <w:instrText xml:space="preserve"> REF _Ref432777082 \r \h  \* MERGEFORMAT </w:instrText>
      </w:r>
      <w:r>
        <w:rPr>
          <w:rFonts w:eastAsia="楷体_GB2312"/>
          <w:sz w:val="24"/>
        </w:rPr>
        <w:fldChar w:fldCharType="separate"/>
      </w:r>
      <w:r>
        <w:rPr>
          <w:rFonts w:eastAsia="楷体_GB2312"/>
          <w:bCs/>
          <w:sz w:val="24"/>
        </w:rPr>
        <w:t>12.1</w:t>
      </w:r>
      <w:r>
        <w:rPr>
          <w:rFonts w:eastAsia="楷体_GB2312"/>
          <w:bCs/>
          <w:sz w:val="24"/>
        </w:rPr>
        <w:fldChar w:fldCharType="end"/>
      </w:r>
      <w:r>
        <w:rPr>
          <w:rFonts w:eastAsia="楷体_GB2312"/>
          <w:bCs/>
          <w:sz w:val="24"/>
        </w:rPr>
        <w:t>款提出的要求持有异议，双方可在“受托人”提出要求的【】日内进行友好协商。如果在该期限内双方无法达成一致意见，任何一方可按本合同第</w:t>
      </w:r>
      <w:r>
        <w:rPr>
          <w:rFonts w:eastAsia="楷体_GB2312"/>
          <w:sz w:val="24"/>
        </w:rPr>
        <w:fldChar w:fldCharType="begin"/>
      </w:r>
      <w:r>
        <w:rPr>
          <w:rFonts w:eastAsia="楷体_GB2312"/>
          <w:sz w:val="24"/>
        </w:rPr>
        <w:instrText xml:space="preserve"> REF _Ref111020368 \r \h  \* MERGEFORMAT </w:instrText>
      </w:r>
      <w:r>
        <w:rPr>
          <w:rFonts w:eastAsia="楷体_GB2312"/>
          <w:sz w:val="24"/>
        </w:rPr>
        <w:fldChar w:fldCharType="separate"/>
      </w:r>
      <w:r>
        <w:rPr>
          <w:rFonts w:eastAsia="楷体_GB2312"/>
          <w:bCs/>
          <w:sz w:val="24"/>
        </w:rPr>
        <w:t>27</w:t>
      </w:r>
      <w:r>
        <w:rPr>
          <w:rFonts w:eastAsia="楷体_GB2312"/>
          <w:bCs/>
          <w:sz w:val="24"/>
        </w:rPr>
        <w:fldChar w:fldCharType="end"/>
      </w:r>
      <w:r>
        <w:rPr>
          <w:rFonts w:eastAsia="楷体_GB2312"/>
          <w:bCs/>
          <w:sz w:val="24"/>
        </w:rPr>
        <w:t>条的约定将争议提交【诉讼】。</w:t>
      </w:r>
    </w:p>
    <w:p w14:paraId="4C6A1D56">
      <w:pPr>
        <w:numPr>
          <w:ilvl w:val="1"/>
          <w:numId w:val="4"/>
        </w:numPr>
        <w:tabs>
          <w:tab w:val="left" w:pos="992"/>
        </w:tabs>
        <w:spacing w:before="156" w:beforeLines="50" w:after="156" w:afterLines="50" w:line="360" w:lineRule="auto"/>
        <w:ind w:left="992" w:hanging="567"/>
        <w:rPr>
          <w:rFonts w:eastAsia="楷体_GB2312"/>
          <w:bCs/>
          <w:sz w:val="24"/>
        </w:rPr>
      </w:pPr>
      <w:r>
        <w:rPr>
          <w:rFonts w:eastAsia="楷体_GB2312"/>
          <w:bCs/>
          <w:sz w:val="24"/>
        </w:rPr>
        <w:t>因进行“不合格信贷资产”“赎回”所发生的费用由“委托人”承担。</w:t>
      </w:r>
    </w:p>
    <w:p w14:paraId="1DF45418">
      <w:pPr>
        <w:numPr>
          <w:ilvl w:val="1"/>
          <w:numId w:val="4"/>
        </w:numPr>
        <w:tabs>
          <w:tab w:val="left" w:pos="992"/>
        </w:tabs>
        <w:spacing w:before="156" w:beforeLines="50" w:after="156" w:afterLines="50" w:line="360" w:lineRule="auto"/>
        <w:ind w:left="992" w:hanging="567"/>
        <w:rPr>
          <w:rFonts w:eastAsia="楷体_GB2312"/>
          <w:bCs/>
          <w:sz w:val="24"/>
        </w:rPr>
      </w:pPr>
      <w:r>
        <w:rPr>
          <w:rFonts w:eastAsia="楷体_GB2312"/>
          <w:bCs/>
          <w:sz w:val="24"/>
        </w:rPr>
        <w:t>除本合同第</w:t>
      </w:r>
      <w:r>
        <w:rPr>
          <w:rFonts w:eastAsia="楷体_GB2312"/>
          <w:sz w:val="24"/>
        </w:rPr>
        <w:fldChar w:fldCharType="begin"/>
      </w:r>
      <w:r>
        <w:rPr>
          <w:rFonts w:eastAsia="楷体_GB2312"/>
          <w:sz w:val="24"/>
        </w:rPr>
        <w:instrText xml:space="preserve"> REF _Ref432777082 \r \h  \* MERGEFORMAT </w:instrText>
      </w:r>
      <w:r>
        <w:rPr>
          <w:rFonts w:eastAsia="楷体_GB2312"/>
          <w:sz w:val="24"/>
        </w:rPr>
        <w:fldChar w:fldCharType="separate"/>
      </w:r>
      <w:r>
        <w:rPr>
          <w:rFonts w:eastAsia="楷体_GB2312"/>
          <w:bCs/>
          <w:sz w:val="24"/>
        </w:rPr>
        <w:t>12.1</w:t>
      </w:r>
      <w:r>
        <w:rPr>
          <w:rFonts w:eastAsia="楷体_GB2312"/>
          <w:bCs/>
          <w:sz w:val="24"/>
        </w:rPr>
        <w:fldChar w:fldCharType="end"/>
      </w:r>
      <w:r>
        <w:rPr>
          <w:rFonts w:eastAsia="楷体_GB2312"/>
          <w:bCs/>
          <w:sz w:val="24"/>
        </w:rPr>
        <w:t>款约定的情形外，“委托人”不对“信贷资产”进行“赎回”。</w:t>
      </w:r>
    </w:p>
    <w:p w14:paraId="414AED1E">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bCs/>
          <w:sz w:val="24"/>
        </w:rPr>
        <w:t>在“委托人”对“</w:t>
      </w:r>
      <w:r>
        <w:rPr>
          <w:rFonts w:eastAsia="楷体_GB2312"/>
          <w:sz w:val="24"/>
        </w:rPr>
        <w:t>不合格信贷资产”进行“赎回”后，该“不合格信贷资产”不再属于“信托财产”。</w:t>
      </w:r>
    </w:p>
    <w:p w14:paraId="72776DEA">
      <w:pPr>
        <w:numPr>
          <w:ilvl w:val="0"/>
          <w:numId w:val="4"/>
        </w:numPr>
        <w:spacing w:before="156" w:beforeLines="50" w:after="156" w:afterLines="50" w:line="360" w:lineRule="auto"/>
        <w:outlineLvl w:val="0"/>
        <w:rPr>
          <w:rFonts w:eastAsia="楷体_GB2312"/>
          <w:b/>
          <w:sz w:val="24"/>
        </w:rPr>
      </w:pPr>
      <w:bookmarkStart w:id="451" w:name="_Toc221382857"/>
      <w:r>
        <w:rPr>
          <w:rFonts w:eastAsia="楷体_GB2312"/>
          <w:b/>
          <w:sz w:val="24"/>
        </w:rPr>
        <w:t>受</w:t>
      </w:r>
      <w:bookmarkStart w:id="452" w:name="_Toc106417388"/>
      <w:bookmarkEnd w:id="452"/>
      <w:bookmarkStart w:id="453" w:name="_Toc106417386"/>
      <w:bookmarkEnd w:id="453"/>
      <w:bookmarkStart w:id="454" w:name="_Toc106417389"/>
      <w:bookmarkEnd w:id="454"/>
      <w:bookmarkStart w:id="455" w:name="_Toc106417387"/>
      <w:bookmarkEnd w:id="455"/>
      <w:bookmarkStart w:id="456" w:name="_Toc92612934"/>
      <w:r>
        <w:rPr>
          <w:rFonts w:eastAsia="楷体_GB2312"/>
          <w:b/>
          <w:sz w:val="24"/>
        </w:rPr>
        <w:t>托人辞任、解任、更换和持续管理义务</w:t>
      </w:r>
      <w:bookmarkEnd w:id="445"/>
      <w:bookmarkEnd w:id="446"/>
      <w:bookmarkEnd w:id="447"/>
      <w:bookmarkEnd w:id="451"/>
    </w:p>
    <w:bookmarkEnd w:id="456"/>
    <w:p w14:paraId="6AC097ED">
      <w:pPr>
        <w:numPr>
          <w:ilvl w:val="1"/>
          <w:numId w:val="4"/>
        </w:numPr>
        <w:tabs>
          <w:tab w:val="left" w:pos="992"/>
        </w:tabs>
        <w:spacing w:before="156" w:beforeLines="50" w:after="156" w:afterLines="50" w:line="360" w:lineRule="auto"/>
        <w:ind w:left="879" w:hanging="454"/>
        <w:outlineLvl w:val="1"/>
        <w:rPr>
          <w:rFonts w:eastAsia="楷体_GB2312"/>
          <w:b/>
          <w:bCs/>
          <w:sz w:val="24"/>
        </w:rPr>
      </w:pPr>
      <w:bookmarkStart w:id="457" w:name="_Ref402964665"/>
      <w:bookmarkStart w:id="458" w:name="_Ref110227113"/>
      <w:r>
        <w:rPr>
          <w:rFonts w:eastAsia="楷体_GB2312"/>
          <w:b/>
          <w:sz w:val="24"/>
        </w:rPr>
        <w:t>更换受托</w:t>
      </w:r>
      <w:r>
        <w:rPr>
          <w:rFonts w:eastAsia="楷体_GB2312"/>
          <w:b/>
          <w:bCs/>
          <w:sz w:val="24"/>
        </w:rPr>
        <w:t>人的情形</w:t>
      </w:r>
      <w:bookmarkEnd w:id="457"/>
    </w:p>
    <w:p w14:paraId="79914AEB">
      <w:pPr>
        <w:spacing w:before="156" w:beforeLines="50" w:after="156" w:afterLines="50" w:line="360" w:lineRule="auto"/>
        <w:ind w:left="992"/>
        <w:rPr>
          <w:rFonts w:eastAsia="楷体_GB2312"/>
          <w:sz w:val="24"/>
        </w:rPr>
      </w:pPr>
      <w:r>
        <w:rPr>
          <w:rFonts w:eastAsia="楷体_GB2312"/>
          <w:sz w:val="24"/>
        </w:rPr>
        <w:t>“信托”生效后，发生下列任一情形的，由“资产支持证券持有人大会”更换“受托人”：</w:t>
      </w:r>
      <w:bookmarkEnd w:id="458"/>
    </w:p>
    <w:p w14:paraId="55F401D2">
      <w:pPr>
        <w:numPr>
          <w:ilvl w:val="2"/>
          <w:numId w:val="4"/>
        </w:numPr>
        <w:tabs>
          <w:tab w:val="left" w:pos="1843"/>
        </w:tabs>
        <w:spacing w:before="156" w:beforeLines="50" w:after="156" w:afterLines="50" w:line="360" w:lineRule="auto"/>
        <w:ind w:left="1701" w:hanging="709"/>
        <w:rPr>
          <w:rFonts w:eastAsia="楷体_GB2312"/>
          <w:sz w:val="24"/>
        </w:rPr>
      </w:pPr>
      <w:r>
        <w:rPr>
          <w:rFonts w:eastAsia="楷体_GB2312"/>
          <w:kern w:val="0"/>
          <w:sz w:val="24"/>
        </w:rPr>
        <w:t>发生任一“受托人辞任事件”；</w:t>
      </w:r>
    </w:p>
    <w:p w14:paraId="0CF6B739">
      <w:pPr>
        <w:numPr>
          <w:ilvl w:val="2"/>
          <w:numId w:val="4"/>
        </w:numPr>
        <w:tabs>
          <w:tab w:val="left" w:pos="1843"/>
        </w:tabs>
        <w:spacing w:before="156" w:beforeLines="50" w:after="156" w:afterLines="50" w:line="360" w:lineRule="auto"/>
        <w:ind w:left="1701" w:hanging="709"/>
        <w:rPr>
          <w:rFonts w:eastAsia="楷体_GB2312"/>
          <w:sz w:val="24"/>
        </w:rPr>
      </w:pPr>
      <w:r>
        <w:rPr>
          <w:rFonts w:eastAsia="楷体_GB2312"/>
          <w:kern w:val="0"/>
          <w:sz w:val="24"/>
        </w:rPr>
        <w:t>发生任一“受托人解任事件”</w:t>
      </w:r>
      <w:r>
        <w:rPr>
          <w:rFonts w:eastAsia="楷体_GB2312"/>
          <w:sz w:val="24"/>
        </w:rPr>
        <w:t>。</w:t>
      </w:r>
    </w:p>
    <w:p w14:paraId="6FDFC8B1">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459" w:name="_Toc112667951"/>
      <w:bookmarkEnd w:id="459"/>
      <w:bookmarkStart w:id="460" w:name="_Toc112668124"/>
      <w:bookmarkEnd w:id="460"/>
      <w:r>
        <w:rPr>
          <w:rFonts w:eastAsia="楷体_GB2312"/>
          <w:b/>
          <w:sz w:val="24"/>
        </w:rPr>
        <w:t>受托人</w:t>
      </w:r>
      <w:r>
        <w:rPr>
          <w:rFonts w:eastAsia="楷体_GB2312"/>
          <w:b/>
          <w:bCs/>
          <w:sz w:val="24"/>
        </w:rPr>
        <w:t>更换</w:t>
      </w:r>
      <w:r>
        <w:rPr>
          <w:rFonts w:eastAsia="楷体_GB2312"/>
          <w:b/>
          <w:sz w:val="24"/>
        </w:rPr>
        <w:t>的程序</w:t>
      </w:r>
    </w:p>
    <w:p w14:paraId="772316F9">
      <w:pPr>
        <w:numPr>
          <w:ilvl w:val="2"/>
          <w:numId w:val="4"/>
        </w:numPr>
        <w:tabs>
          <w:tab w:val="left" w:pos="1843"/>
        </w:tabs>
        <w:spacing w:before="156" w:beforeLines="50" w:after="156" w:afterLines="50" w:line="360" w:lineRule="auto"/>
        <w:ind w:left="1701" w:hanging="709"/>
        <w:rPr>
          <w:rFonts w:eastAsia="楷体_GB2312"/>
          <w:b/>
          <w:sz w:val="24"/>
        </w:rPr>
      </w:pPr>
      <w:r>
        <w:rPr>
          <w:rFonts w:eastAsia="楷体_GB2312"/>
          <w:b/>
          <w:sz w:val="24"/>
        </w:rPr>
        <w:t>确定新的</w:t>
      </w:r>
      <w:r>
        <w:rPr>
          <w:rFonts w:eastAsia="楷体_GB2312"/>
          <w:b/>
          <w:kern w:val="0"/>
          <w:sz w:val="24"/>
        </w:rPr>
        <w:t>受托人</w:t>
      </w:r>
      <w:r>
        <w:rPr>
          <w:rFonts w:eastAsia="楷体_GB2312"/>
          <w:b/>
          <w:sz w:val="24"/>
        </w:rPr>
        <w:t>人选</w:t>
      </w:r>
    </w:p>
    <w:p w14:paraId="18354539">
      <w:pPr>
        <w:numPr>
          <w:ilvl w:val="0"/>
          <w:numId w:val="27"/>
        </w:numPr>
        <w:spacing w:before="156" w:beforeLines="50" w:after="156" w:afterLines="50" w:line="360" w:lineRule="auto"/>
        <w:ind w:left="2127"/>
        <w:rPr>
          <w:rFonts w:eastAsia="楷体_GB2312"/>
          <w:b/>
          <w:sz w:val="24"/>
        </w:rPr>
      </w:pPr>
      <w:r>
        <w:rPr>
          <w:rFonts w:eastAsia="楷体_GB2312"/>
          <w:sz w:val="24"/>
        </w:rPr>
        <w:t>在出现本合同第</w:t>
      </w:r>
      <w:r>
        <w:rPr>
          <w:rFonts w:eastAsia="楷体_GB2312"/>
          <w:sz w:val="24"/>
        </w:rPr>
        <w:fldChar w:fldCharType="begin"/>
      </w:r>
      <w:r>
        <w:rPr>
          <w:rFonts w:eastAsia="楷体_GB2312"/>
          <w:sz w:val="24"/>
        </w:rPr>
        <w:instrText xml:space="preserve"> REF _Ref402964665 \r \h  \* MERGEFORMAT </w:instrText>
      </w:r>
      <w:r>
        <w:rPr>
          <w:rFonts w:eastAsia="楷体_GB2312"/>
          <w:sz w:val="24"/>
        </w:rPr>
        <w:fldChar w:fldCharType="separate"/>
      </w:r>
      <w:r>
        <w:rPr>
          <w:rFonts w:eastAsia="楷体_GB2312"/>
          <w:sz w:val="24"/>
        </w:rPr>
        <w:t>13.1</w:t>
      </w:r>
      <w:r>
        <w:rPr>
          <w:rFonts w:eastAsia="楷体_GB2312"/>
          <w:sz w:val="24"/>
        </w:rPr>
        <w:fldChar w:fldCharType="end"/>
      </w:r>
      <w:r>
        <w:rPr>
          <w:rFonts w:eastAsia="楷体_GB2312"/>
          <w:sz w:val="24"/>
        </w:rPr>
        <w:t>款的情况时，由“资产支持证券持有人大会”决定新的</w:t>
      </w:r>
      <w:r>
        <w:rPr>
          <w:rFonts w:eastAsia="楷体_GB2312"/>
          <w:kern w:val="0"/>
          <w:sz w:val="24"/>
        </w:rPr>
        <w:t>“受托人”</w:t>
      </w:r>
      <w:r>
        <w:rPr>
          <w:rFonts w:eastAsia="楷体_GB2312"/>
          <w:sz w:val="24"/>
        </w:rPr>
        <w:t>的人选。</w:t>
      </w:r>
    </w:p>
    <w:p w14:paraId="4EAD4B70">
      <w:pPr>
        <w:numPr>
          <w:ilvl w:val="0"/>
          <w:numId w:val="27"/>
        </w:numPr>
        <w:spacing w:before="156" w:beforeLines="50" w:after="156" w:afterLines="50" w:line="360" w:lineRule="auto"/>
        <w:ind w:left="2127"/>
        <w:rPr>
          <w:rFonts w:eastAsia="楷体_GB2312"/>
          <w:b/>
          <w:sz w:val="24"/>
        </w:rPr>
      </w:pPr>
      <w:r>
        <w:rPr>
          <w:rFonts w:eastAsia="楷体_GB2312"/>
          <w:sz w:val="24"/>
        </w:rPr>
        <w:t>聘任新的“受托人”的前提条件是新的“受托人”接受“资产支持证券持有人大会”的决议和本合同的各项约定（届时有必要修改的约定除外），并同意担任“信托”项下的新的“受托人”。</w:t>
      </w:r>
    </w:p>
    <w:p w14:paraId="6933D636">
      <w:pPr>
        <w:numPr>
          <w:ilvl w:val="2"/>
          <w:numId w:val="4"/>
        </w:numPr>
        <w:tabs>
          <w:tab w:val="left" w:pos="1843"/>
        </w:tabs>
        <w:spacing w:before="156" w:beforeLines="50" w:after="156" w:afterLines="50" w:line="360" w:lineRule="auto"/>
        <w:ind w:left="1701" w:hanging="709"/>
        <w:rPr>
          <w:rFonts w:eastAsia="楷体_GB2312"/>
          <w:b/>
          <w:sz w:val="24"/>
        </w:rPr>
      </w:pPr>
      <w:r>
        <w:rPr>
          <w:rFonts w:eastAsia="楷体_GB2312"/>
          <w:b/>
          <w:sz w:val="24"/>
        </w:rPr>
        <w:t>发送《受托人更换通知》</w:t>
      </w:r>
    </w:p>
    <w:p w14:paraId="04ADBD3F">
      <w:pPr>
        <w:spacing w:before="156" w:beforeLines="50" w:after="156" w:afterLines="50" w:line="360" w:lineRule="auto"/>
        <w:ind w:left="1843"/>
        <w:rPr>
          <w:rFonts w:eastAsia="楷体_GB2312"/>
          <w:sz w:val="24"/>
        </w:rPr>
      </w:pPr>
      <w:r>
        <w:rPr>
          <w:rFonts w:eastAsia="楷体_GB2312"/>
          <w:sz w:val="24"/>
        </w:rPr>
        <w:t>在新“受托人”人选确定之日，“资产支持证券持有人大会”向原“受托人”发送《受托人更换通知》，将新的“受托人”人选通知原“受托人”，并通知原“受托人”准备“信托财产”和信托事务的交接工作。</w:t>
      </w:r>
    </w:p>
    <w:p w14:paraId="1841D562">
      <w:pPr>
        <w:numPr>
          <w:ilvl w:val="2"/>
          <w:numId w:val="4"/>
        </w:numPr>
        <w:tabs>
          <w:tab w:val="left" w:pos="1843"/>
        </w:tabs>
        <w:spacing w:before="156" w:beforeLines="50" w:after="156" w:afterLines="50" w:line="360" w:lineRule="auto"/>
        <w:ind w:left="1701" w:hanging="709"/>
        <w:rPr>
          <w:rFonts w:eastAsia="楷体_GB2312"/>
          <w:b/>
          <w:sz w:val="24"/>
        </w:rPr>
      </w:pPr>
      <w:r>
        <w:rPr>
          <w:rFonts w:eastAsia="楷体_GB2312"/>
          <w:b/>
          <w:sz w:val="24"/>
        </w:rPr>
        <w:t>交接信托财产和信托事务</w:t>
      </w:r>
    </w:p>
    <w:p w14:paraId="30A3CC9F">
      <w:pPr>
        <w:numPr>
          <w:ilvl w:val="0"/>
          <w:numId w:val="28"/>
        </w:numPr>
        <w:spacing w:before="156" w:beforeLines="50" w:after="156" w:afterLines="50" w:line="360" w:lineRule="auto"/>
        <w:ind w:left="2127"/>
        <w:rPr>
          <w:rFonts w:eastAsia="楷体_GB2312"/>
          <w:sz w:val="24"/>
        </w:rPr>
      </w:pPr>
      <w:r>
        <w:rPr>
          <w:rFonts w:eastAsia="楷体_GB2312"/>
          <w:sz w:val="24"/>
        </w:rPr>
        <w:t>在原“受托人”收到《受托人更换通知》之日起【】个“工作日”内，原“受托人”应编制“信托财产”和信托事务情况的报告，交付给新“受托人”。</w:t>
      </w:r>
    </w:p>
    <w:p w14:paraId="16EDB632">
      <w:pPr>
        <w:numPr>
          <w:ilvl w:val="0"/>
          <w:numId w:val="28"/>
        </w:numPr>
        <w:spacing w:before="156" w:beforeLines="50" w:after="156" w:afterLines="50" w:line="360" w:lineRule="auto"/>
        <w:ind w:left="2127"/>
        <w:rPr>
          <w:rFonts w:eastAsia="楷体_GB2312"/>
          <w:sz w:val="24"/>
        </w:rPr>
      </w:pPr>
      <w:r>
        <w:rPr>
          <w:rFonts w:eastAsia="楷体_GB2312"/>
          <w:sz w:val="24"/>
        </w:rPr>
        <w:t>原“受托人”有义务配合新“受托人”完成“信托财产”和信托事务的交接工作，从而使新“受托人”尽快开始管理“信托财产”和信托事务。</w:t>
      </w:r>
    </w:p>
    <w:p w14:paraId="38736C1D">
      <w:pPr>
        <w:numPr>
          <w:ilvl w:val="0"/>
          <w:numId w:val="28"/>
        </w:numPr>
        <w:spacing w:before="156" w:beforeLines="50" w:after="156" w:afterLines="50" w:line="360" w:lineRule="auto"/>
        <w:ind w:left="2127"/>
        <w:rPr>
          <w:rFonts w:eastAsia="楷体_GB2312"/>
          <w:sz w:val="24"/>
        </w:rPr>
      </w:pPr>
      <w:r>
        <w:rPr>
          <w:rFonts w:eastAsia="楷体_GB2312"/>
          <w:sz w:val="24"/>
        </w:rPr>
        <w:t>在发生“受托人解任事件”第(d)、(e)项情形时，原“受托人”应配合“金融监管总局”或“中国”“法律”指定的国家监管机构指定“信托”的临时“受托人”，进行“信托财产”和信托事务的交接，从而使临时“受托人”可尽快开始管理“信托财产”和信托事务。</w:t>
      </w:r>
    </w:p>
    <w:p w14:paraId="3F07671B">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461" w:name="_Toc148440842"/>
      <w:bookmarkEnd w:id="461"/>
      <w:bookmarkStart w:id="462" w:name="_Toc148384255"/>
      <w:bookmarkEnd w:id="462"/>
      <w:bookmarkStart w:id="463" w:name="_Toc148440841"/>
      <w:bookmarkEnd w:id="463"/>
      <w:bookmarkStart w:id="464" w:name="_Toc148384254"/>
      <w:bookmarkEnd w:id="464"/>
      <w:r>
        <w:rPr>
          <w:rFonts w:eastAsia="楷体_GB2312"/>
          <w:b/>
          <w:sz w:val="24"/>
        </w:rPr>
        <w:t>受托人的持续管理义务</w:t>
      </w:r>
    </w:p>
    <w:p w14:paraId="1A0B5718">
      <w:pPr>
        <w:tabs>
          <w:tab w:val="left" w:pos="1571"/>
        </w:tabs>
        <w:spacing w:before="156" w:beforeLines="50" w:after="156" w:afterLines="50" w:line="360" w:lineRule="auto"/>
        <w:ind w:left="993"/>
        <w:rPr>
          <w:rFonts w:eastAsia="楷体_GB2312"/>
          <w:sz w:val="24"/>
        </w:rPr>
      </w:pPr>
      <w:r>
        <w:rPr>
          <w:rFonts w:eastAsia="楷体_GB2312"/>
          <w:sz w:val="24"/>
        </w:rPr>
        <w:t>除发生“受托人解任事件”第(d)、(e)项情形外，在新的“受托人”开始管理“信托财产”和信托事务前，原“受托人”仍应按本合同的约定履行管理信托事务的职责。</w:t>
      </w:r>
    </w:p>
    <w:p w14:paraId="4018F6DB">
      <w:pPr>
        <w:numPr>
          <w:ilvl w:val="1"/>
          <w:numId w:val="4"/>
        </w:numPr>
        <w:tabs>
          <w:tab w:val="left" w:pos="992"/>
        </w:tabs>
        <w:spacing w:before="156" w:beforeLines="50" w:after="156" w:afterLines="50" w:line="360" w:lineRule="auto"/>
        <w:ind w:left="992" w:hanging="567"/>
        <w:outlineLvl w:val="1"/>
        <w:rPr>
          <w:rFonts w:eastAsia="楷体_GB2312"/>
          <w:sz w:val="24"/>
        </w:rPr>
      </w:pPr>
      <w:r>
        <w:rPr>
          <w:rFonts w:eastAsia="楷体_GB2312"/>
          <w:sz w:val="24"/>
        </w:rPr>
        <w:t>“受托人”吸收合并其他公司，或被其他公司吸收合并时，在应适用的“中国”“法律”允许且其有资格担任“受托人”的情况下，应成为本合同项下“受托人”的继任者，而不必向本合同及其作为一方的“交易文件”的其他各方签署、交付任何文件或采取任何进一步的行动。“信托”或“资产支持证券持有人”因上述合并而发生的费用由继任“受托人”承担。“受托人”应立即将关于上述合并的通知交付给本合同及其作为一方的“交易文件”的其他各方以及“评级机构”。</w:t>
      </w:r>
    </w:p>
    <w:p w14:paraId="18C2FFCF">
      <w:pPr>
        <w:numPr>
          <w:ilvl w:val="1"/>
          <w:numId w:val="4"/>
        </w:numPr>
        <w:tabs>
          <w:tab w:val="left" w:pos="992"/>
        </w:tabs>
        <w:spacing w:before="156" w:beforeLines="50" w:after="156" w:afterLines="50" w:line="360" w:lineRule="auto"/>
        <w:ind w:left="879" w:hanging="454"/>
        <w:outlineLvl w:val="1"/>
        <w:rPr>
          <w:rFonts w:eastAsia="楷体_GB2312"/>
          <w:b/>
          <w:sz w:val="24"/>
        </w:rPr>
      </w:pPr>
      <w:r>
        <w:rPr>
          <w:rFonts w:eastAsia="楷体_GB2312"/>
          <w:b/>
          <w:sz w:val="24"/>
        </w:rPr>
        <w:t>费用和支出的负担</w:t>
      </w:r>
    </w:p>
    <w:p w14:paraId="0BDC7049">
      <w:pPr>
        <w:tabs>
          <w:tab w:val="left" w:pos="1571"/>
        </w:tabs>
        <w:spacing w:before="156" w:beforeLines="50" w:after="156" w:afterLines="50" w:line="360" w:lineRule="auto"/>
        <w:ind w:left="992"/>
        <w:rPr>
          <w:rFonts w:eastAsia="楷体_GB2312"/>
          <w:sz w:val="24"/>
        </w:rPr>
      </w:pPr>
      <w:r>
        <w:rPr>
          <w:rFonts w:eastAsia="楷体_GB2312"/>
          <w:sz w:val="24"/>
        </w:rPr>
        <w:t>“受托人”根据本合同辞任或被解任的，应承担因下列事项发生的全部费用和支出：(1)向继任“受托人”转让其在本合同及其作为一方的“交易文件”项下的全部权利、权力、职责和义务；(2)按照应适用的“中国”“法律”向继任“受托人”转让全部“信托财产”并对该等转让予以完善；(3)将与“信托”有关的全部记录和其他文件交付给继任“受托人”；(4</w:t>
      </w:r>
      <w:bookmarkStart w:id="465" w:name="_Ref519155323"/>
      <w:bookmarkStart w:id="466" w:name="_Ref402964152"/>
      <w:bookmarkStart w:id="467" w:name="_Ref519153562"/>
      <w:bookmarkStart w:id="468" w:name="_Ref201978974"/>
      <w:bookmarkStart w:id="469" w:name="_Ref466149679"/>
      <w:bookmarkStart w:id="470" w:name="_Toc402883944"/>
      <w:bookmarkStart w:id="471" w:name="_Toc121814443"/>
      <w:bookmarkStart w:id="472" w:name="_Ref202072244"/>
      <w:r>
        <w:rPr>
          <w:rFonts w:eastAsia="楷体_GB2312"/>
          <w:sz w:val="24"/>
        </w:rPr>
        <w:t>)“中国”“法律”要求的全部相关行为。</w:t>
      </w:r>
    </w:p>
    <w:p w14:paraId="22CC49F5">
      <w:pPr>
        <w:numPr>
          <w:ilvl w:val="0"/>
          <w:numId w:val="4"/>
        </w:numPr>
        <w:spacing w:before="156" w:beforeLines="50" w:after="156" w:afterLines="50" w:line="360" w:lineRule="auto"/>
        <w:outlineLvl w:val="0"/>
        <w:rPr>
          <w:rFonts w:eastAsia="楷体_GB2312"/>
          <w:b/>
          <w:sz w:val="24"/>
        </w:rPr>
      </w:pPr>
      <w:bookmarkStart w:id="473" w:name="_Ref63070203"/>
      <w:bookmarkStart w:id="474" w:name="_Toc221382858"/>
      <w:r>
        <w:rPr>
          <w:rFonts w:eastAsia="楷体_GB2312"/>
          <w:b/>
          <w:sz w:val="24"/>
        </w:rPr>
        <w:t>清仓回购</w:t>
      </w:r>
      <w:bookmarkEnd w:id="465"/>
      <w:bookmarkEnd w:id="466"/>
      <w:bookmarkEnd w:id="467"/>
      <w:bookmarkEnd w:id="468"/>
      <w:bookmarkEnd w:id="469"/>
      <w:bookmarkEnd w:id="470"/>
      <w:bookmarkEnd w:id="471"/>
      <w:bookmarkEnd w:id="472"/>
      <w:bookmarkEnd w:id="473"/>
      <w:bookmarkEnd w:id="474"/>
    </w:p>
    <w:p w14:paraId="123E00A4">
      <w:pPr>
        <w:numPr>
          <w:ilvl w:val="1"/>
          <w:numId w:val="4"/>
        </w:numPr>
        <w:tabs>
          <w:tab w:val="left" w:pos="992"/>
        </w:tabs>
        <w:spacing w:before="156" w:beforeLines="50" w:after="156" w:afterLines="50" w:line="360" w:lineRule="auto"/>
        <w:ind w:left="992" w:hanging="567"/>
        <w:rPr>
          <w:rFonts w:eastAsia="楷体_GB2312"/>
          <w:bCs/>
          <w:sz w:val="24"/>
        </w:rPr>
      </w:pPr>
      <w:bookmarkStart w:id="475" w:name="_DV_M211"/>
      <w:bookmarkEnd w:id="475"/>
      <w:r>
        <w:rPr>
          <w:rFonts w:eastAsia="楷体_GB2312"/>
          <w:bCs/>
          <w:sz w:val="24"/>
        </w:rPr>
        <w:t>“清仓回购”是“委托人”的一项选择权。在满足本合同第</w:t>
      </w:r>
      <w:r>
        <w:rPr>
          <w:rFonts w:eastAsia="楷体_GB2312"/>
          <w:sz w:val="24"/>
        </w:rPr>
        <w:fldChar w:fldCharType="begin"/>
      </w:r>
      <w:r>
        <w:rPr>
          <w:rFonts w:eastAsia="楷体_GB2312"/>
          <w:sz w:val="24"/>
        </w:rPr>
        <w:instrText xml:space="preserve"> REF _Ref150858310 \r \h  \* MERGEFORMAT </w:instrText>
      </w:r>
      <w:r>
        <w:rPr>
          <w:rFonts w:eastAsia="楷体_GB2312"/>
          <w:sz w:val="24"/>
        </w:rPr>
        <w:fldChar w:fldCharType="separate"/>
      </w:r>
      <w:r>
        <w:rPr>
          <w:rFonts w:eastAsia="楷体_GB2312"/>
          <w:bCs/>
          <w:sz w:val="24"/>
        </w:rPr>
        <w:t>14.2</w:t>
      </w:r>
      <w:r>
        <w:rPr>
          <w:rFonts w:eastAsia="楷体_GB2312"/>
          <w:bCs/>
          <w:sz w:val="24"/>
        </w:rPr>
        <w:fldChar w:fldCharType="end"/>
      </w:r>
      <w:r>
        <w:rPr>
          <w:rFonts w:eastAsia="楷体_GB2312"/>
          <w:bCs/>
          <w:sz w:val="24"/>
        </w:rPr>
        <w:t>款约定的条件的情况下，“委托人”可按照“资产池”的市场价值进行“清仓回购”。</w:t>
      </w:r>
    </w:p>
    <w:p w14:paraId="6FAB55BD">
      <w:pPr>
        <w:numPr>
          <w:ilvl w:val="1"/>
          <w:numId w:val="4"/>
        </w:numPr>
        <w:tabs>
          <w:tab w:val="left" w:pos="992"/>
        </w:tabs>
        <w:spacing w:before="156" w:beforeLines="50" w:after="156" w:afterLines="50" w:line="360" w:lineRule="auto"/>
        <w:ind w:left="879" w:hanging="454"/>
        <w:rPr>
          <w:rFonts w:eastAsia="楷体_GB2312"/>
          <w:sz w:val="24"/>
        </w:rPr>
      </w:pPr>
      <w:bookmarkStart w:id="476" w:name="_Ref150858310"/>
      <w:r>
        <w:rPr>
          <w:rFonts w:eastAsia="楷体_GB2312"/>
          <w:sz w:val="24"/>
        </w:rPr>
        <w:t>“委托人”进行“清仓回购”应满足下列条件：</w:t>
      </w:r>
      <w:bookmarkEnd w:id="476"/>
    </w:p>
    <w:p w14:paraId="1B051C6A">
      <w:pPr>
        <w:numPr>
          <w:ilvl w:val="2"/>
          <w:numId w:val="4"/>
        </w:numPr>
        <w:tabs>
          <w:tab w:val="left" w:pos="1843"/>
        </w:tabs>
        <w:spacing w:before="156" w:beforeLines="50" w:after="156" w:afterLines="50" w:line="360" w:lineRule="auto"/>
        <w:ind w:left="1843" w:hanging="850"/>
        <w:rPr>
          <w:rFonts w:eastAsia="楷体_GB2312"/>
          <w:sz w:val="24"/>
          <w:lang w:val="en-GB"/>
        </w:rPr>
      </w:pPr>
      <w:r>
        <w:rPr>
          <w:rFonts w:eastAsia="楷体_GB2312"/>
          <w:sz w:val="24"/>
          <w:lang w:val="en-GB"/>
        </w:rPr>
        <w:t>“信贷资产”的“未偿本金余额”总和在“回购起算日”【】时降至“初始起算日资产池余额”的【10%】或以下，或全部“资产支持证券”的“未偿本金余额”在“回购起算日”【】时降至初始发行额的【10%】或以下；并且</w:t>
      </w:r>
    </w:p>
    <w:p w14:paraId="2E1FBF96">
      <w:pPr>
        <w:numPr>
          <w:ilvl w:val="2"/>
          <w:numId w:val="4"/>
        </w:numPr>
        <w:tabs>
          <w:tab w:val="left" w:pos="1843"/>
        </w:tabs>
        <w:spacing w:before="156" w:beforeLines="50" w:after="156" w:afterLines="50" w:line="360" w:lineRule="auto"/>
        <w:ind w:left="1843" w:hanging="850"/>
        <w:rPr>
          <w:rFonts w:eastAsia="楷体_GB2312"/>
          <w:sz w:val="24"/>
          <w:lang w:val="en-GB"/>
        </w:rPr>
      </w:pPr>
      <w:bookmarkStart w:id="477" w:name="_Ref338345003"/>
      <w:r>
        <w:rPr>
          <w:rFonts w:eastAsia="楷体_GB2312"/>
          <w:sz w:val="24"/>
          <w:lang w:val="en-GB"/>
        </w:rPr>
        <w:t>截至“回购起算日”【】时剩余“信贷资产”的市场价值不少于A+B之和。A指截至“委托人”发出《清仓回购通知书》的当个“收款期间”届满后第一个“支付日”前一日全部“优先级资产支持证券”的“未偿本金余额”以及已产生但未支付的“优先级资产支持证券”的利息加上“信托”应付的服务报酬和实际支出之和。B为下列(1)和(2)两者之间数值较高者，其中(1)的数值为0；(2)的数值为截至“回购起算日”【】时“次级资产支持证券”的“未偿本金余额”减去“累计净损失”的差值。</w:t>
      </w:r>
      <w:bookmarkEnd w:id="477"/>
    </w:p>
    <w:p w14:paraId="1305B65C">
      <w:pPr>
        <w:spacing w:before="156" w:beforeLines="50" w:after="156" w:afterLines="50" w:line="360" w:lineRule="auto"/>
        <w:ind w:left="1843"/>
        <w:outlineLvl w:val="1"/>
        <w:rPr>
          <w:rFonts w:eastAsia="楷体_GB2312"/>
          <w:b/>
          <w:color w:val="FF0000"/>
          <w:sz w:val="24"/>
        </w:rPr>
      </w:pPr>
      <w:r>
        <w:rPr>
          <w:rFonts w:eastAsia="楷体_GB2312"/>
          <w:b/>
          <w:i/>
          <w:color w:val="FF0000"/>
          <w:sz w:val="24"/>
        </w:rPr>
        <w:t>【注：清仓回购具体条件包括资产池公允价值的确定方式根据具体项目情况及监管要求选择适用或进行调整。】</w:t>
      </w:r>
    </w:p>
    <w:p w14:paraId="5D31AB3B">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委托人”决定进行“清仓回购”的，应于作出决定的“收款期间”（以下简称“相关收款期间”）届满前【】个“工作日”之前（或“受托人”和“委托人”同意的更晚日期），向“受托人”发出《清仓回购通知书》（该通知应视为对“受托人”的要约邀请，格式见本合同</w:t>
      </w:r>
      <w:r>
        <w:rPr>
          <w:rFonts w:eastAsia="楷体_GB2312"/>
          <w:b/>
          <w:i/>
          <w:sz w:val="24"/>
        </w:rPr>
        <w:t>附件六</w:t>
      </w:r>
      <w:r>
        <w:rPr>
          <w:rFonts w:eastAsia="楷体_GB2312"/>
          <w:sz w:val="24"/>
        </w:rPr>
        <w:t>），“回购起算日</w:t>
      </w:r>
      <w:r>
        <w:rPr>
          <w:rFonts w:eastAsia="楷体_GB2312"/>
          <w:bCs/>
          <w:sz w:val="24"/>
        </w:rPr>
        <w:t>”</w:t>
      </w:r>
      <w:r>
        <w:rPr>
          <w:rFonts w:eastAsia="楷体_GB2312"/>
          <w:sz w:val="24"/>
        </w:rPr>
        <w:t>系指“委托人”向“受托人”发出清仓回购通知的“收款期间”前一个“收款期间”的最后一日。</w:t>
      </w:r>
    </w:p>
    <w:p w14:paraId="5582DF08">
      <w:pPr>
        <w:numPr>
          <w:ilvl w:val="1"/>
          <w:numId w:val="4"/>
        </w:numPr>
        <w:tabs>
          <w:tab w:val="left" w:pos="992"/>
        </w:tabs>
        <w:spacing w:before="156" w:beforeLines="50" w:after="156" w:afterLines="50" w:line="360" w:lineRule="auto"/>
        <w:ind w:left="992" w:hanging="567"/>
        <w:rPr>
          <w:rFonts w:eastAsia="楷体_GB2312"/>
          <w:sz w:val="24"/>
        </w:rPr>
      </w:pPr>
      <w:bookmarkStart w:id="478" w:name="_Ref146342905"/>
      <w:bookmarkStart w:id="479" w:name="_Ref402964822"/>
      <w:r>
        <w:rPr>
          <w:rFonts w:eastAsia="楷体_GB2312"/>
          <w:sz w:val="24"/>
        </w:rPr>
        <w:t>收到“委托人”的《清仓回购通知书》后，“受托人”应不迟于“相关收款期间”届满前【】个“工作日”之前（或“受托人”和“委托人”同意的更晚日期），以“回购起算日”【】时“资产池”的市场价值作为“清仓回购价格”，向“委托人”发出书面要约（格式见本合同</w:t>
      </w:r>
      <w:r>
        <w:rPr>
          <w:rFonts w:eastAsia="楷体_GB2312"/>
          <w:b/>
          <w:i/>
          <w:sz w:val="24"/>
        </w:rPr>
        <w:t>附件七</w:t>
      </w:r>
      <w:r>
        <w:rPr>
          <w:rFonts w:eastAsia="楷体_GB2312"/>
          <w:sz w:val="24"/>
        </w:rPr>
        <w:t>）。书面要约中应记载“清仓回购价格”，“受托人”届时</w:t>
      </w:r>
      <w:r>
        <w:rPr>
          <w:rFonts w:hint="eastAsia" w:eastAsia="楷体_GB2312"/>
          <w:sz w:val="24"/>
        </w:rPr>
        <w:t>应当</w:t>
      </w:r>
      <w:r>
        <w:rPr>
          <w:rFonts w:eastAsia="楷体_GB2312"/>
          <w:sz w:val="24"/>
        </w:rPr>
        <w:t>聘请评估机构、评级机构等第三方专业机构对剩余“资产池”进行评估/估值，并以其出具的专业报告中的评估价值或债权价值（以该机构届时出具的报告为准）作为“资产池”的公允价值和“清仓回购价格”，由此发生的费用由“信托财产”承担。</w:t>
      </w:r>
      <w:r>
        <w:rPr>
          <w:rFonts w:eastAsia="楷体_GB2312"/>
          <w:color w:val="000000"/>
          <w:sz w:val="24"/>
        </w:rPr>
        <w:t>“受托人”</w:t>
      </w:r>
      <w:r>
        <w:rPr>
          <w:rFonts w:hint="eastAsia" w:eastAsia="楷体_GB2312"/>
          <w:color w:val="000000"/>
          <w:sz w:val="24"/>
        </w:rPr>
        <w:t>应将前述拟定的</w:t>
      </w:r>
      <w:r>
        <w:rPr>
          <w:rFonts w:eastAsia="楷体_GB2312"/>
          <w:color w:val="000000"/>
          <w:sz w:val="24"/>
        </w:rPr>
        <w:t>“清仓回购价格”以书面形式通知全体“资产支持证券持有人”。</w:t>
      </w:r>
      <w:r>
        <w:rPr>
          <w:rFonts w:hint="eastAsia" w:eastAsia="楷体_GB2312"/>
          <w:color w:val="000000"/>
          <w:sz w:val="24"/>
        </w:rPr>
        <w:t>如</w:t>
      </w:r>
      <w:r>
        <w:rPr>
          <w:rFonts w:eastAsia="楷体_GB2312"/>
          <w:color w:val="000000"/>
          <w:sz w:val="24"/>
        </w:rPr>
        <w:t>“资产支持证券持有人”</w:t>
      </w:r>
      <w:r>
        <w:rPr>
          <w:rFonts w:hint="eastAsia" w:eastAsia="楷体_GB2312"/>
          <w:color w:val="000000"/>
          <w:sz w:val="24"/>
        </w:rPr>
        <w:t>对前述拟定的</w:t>
      </w:r>
      <w:r>
        <w:rPr>
          <w:rFonts w:eastAsia="楷体_GB2312"/>
          <w:color w:val="000000"/>
          <w:sz w:val="24"/>
        </w:rPr>
        <w:t>“清仓回购价格”</w:t>
      </w:r>
      <w:r>
        <w:rPr>
          <w:rFonts w:hint="eastAsia" w:eastAsia="楷体_GB2312"/>
          <w:color w:val="000000"/>
          <w:sz w:val="24"/>
        </w:rPr>
        <w:t>有异议，</w:t>
      </w:r>
      <w:r>
        <w:rPr>
          <w:rFonts w:eastAsia="楷体_GB2312"/>
          <w:color w:val="000000"/>
          <w:sz w:val="24"/>
        </w:rPr>
        <w:t>在收到“受托人”</w:t>
      </w:r>
      <w:r>
        <w:rPr>
          <w:rFonts w:hint="eastAsia" w:eastAsia="楷体_GB2312"/>
          <w:color w:val="000000"/>
          <w:sz w:val="24"/>
        </w:rPr>
        <w:t>书面</w:t>
      </w:r>
      <w:r>
        <w:rPr>
          <w:rFonts w:eastAsia="楷体_GB2312"/>
          <w:color w:val="000000"/>
          <w:sz w:val="24"/>
        </w:rPr>
        <w:t>通知后【】个“工作日”内，可以</w:t>
      </w:r>
      <w:r>
        <w:rPr>
          <w:rFonts w:hint="eastAsia" w:eastAsia="楷体_GB2312"/>
          <w:color w:val="000000"/>
          <w:sz w:val="24"/>
        </w:rPr>
        <w:t>根据</w:t>
      </w:r>
      <w:r>
        <w:rPr>
          <w:rFonts w:eastAsia="楷体_GB2312"/>
          <w:color w:val="000000"/>
          <w:w w:val="0"/>
          <w:sz w:val="24"/>
        </w:rPr>
        <w:t>“《信托合同》”</w:t>
      </w:r>
      <w:r>
        <w:rPr>
          <w:rFonts w:hint="eastAsia" w:eastAsia="楷体_GB2312"/>
          <w:color w:val="000000"/>
          <w:sz w:val="24"/>
        </w:rPr>
        <w:t>的相关约定</w:t>
      </w:r>
      <w:r>
        <w:rPr>
          <w:rFonts w:eastAsia="楷体_GB2312"/>
          <w:color w:val="000000"/>
          <w:sz w:val="24"/>
        </w:rPr>
        <w:t>请求“受托人”召集“资产支持证券持有人大会”</w:t>
      </w:r>
      <w:r>
        <w:rPr>
          <w:rFonts w:hint="eastAsia" w:eastAsia="楷体_GB2312"/>
          <w:color w:val="000000"/>
          <w:sz w:val="24"/>
        </w:rPr>
        <w:t>。</w:t>
      </w:r>
      <w:r>
        <w:rPr>
          <w:rFonts w:eastAsia="楷体_GB2312"/>
          <w:color w:val="000000"/>
          <w:sz w:val="24"/>
        </w:rPr>
        <w:t>书面要约中</w:t>
      </w:r>
      <w:r>
        <w:rPr>
          <w:rFonts w:hint="eastAsia" w:eastAsia="楷体_GB2312"/>
          <w:color w:val="000000"/>
          <w:sz w:val="24"/>
        </w:rPr>
        <w:t>应</w:t>
      </w:r>
      <w:r>
        <w:rPr>
          <w:rFonts w:eastAsia="楷体_GB2312"/>
          <w:sz w:val="24"/>
        </w:rPr>
        <w:t>约定在“委托人”承诺后，“受托人”将于“相关收款期间”结束后的第一个“回收款转付日”出售“信贷资产”。</w:t>
      </w:r>
      <w:bookmarkEnd w:id="478"/>
    </w:p>
    <w:p w14:paraId="18B325A1">
      <w:pPr>
        <w:spacing w:before="156" w:beforeLines="50" w:after="156" w:afterLines="50" w:line="360" w:lineRule="auto"/>
        <w:ind w:left="993"/>
        <w:rPr>
          <w:rFonts w:eastAsia="楷体_GB2312"/>
          <w:color w:val="FF0000"/>
          <w:sz w:val="24"/>
        </w:rPr>
      </w:pPr>
      <w:r>
        <w:rPr>
          <w:rFonts w:eastAsia="楷体_GB2312"/>
          <w:b/>
          <w:i/>
          <w:color w:val="FF0000"/>
          <w:sz w:val="24"/>
        </w:rPr>
        <w:t>【注：</w:t>
      </w:r>
      <w:r>
        <w:rPr>
          <w:rFonts w:hint="eastAsia" w:eastAsia="楷体_GB2312"/>
          <w:b/>
          <w:bCs/>
          <w:i/>
          <w:iCs/>
          <w:color w:val="FF0000"/>
          <w:kern w:val="0"/>
          <w:sz w:val="24"/>
        </w:rPr>
        <w:t>（1）</w:t>
      </w:r>
      <w:r>
        <w:rPr>
          <w:rFonts w:hint="eastAsia" w:eastAsia="楷体_GB2312"/>
          <w:b/>
          <w:bCs/>
          <w:i/>
          <w:iCs/>
          <w:color w:val="FF0000"/>
          <w:sz w:val="24"/>
        </w:rPr>
        <w:t>鼓励按上述方式确定并执行清仓回购价格。</w:t>
      </w:r>
      <w:r>
        <w:rPr>
          <w:rFonts w:hint="eastAsia" w:eastAsia="楷体_GB2312"/>
          <w:b/>
          <w:i/>
          <w:color w:val="FF0000"/>
          <w:sz w:val="24"/>
        </w:rPr>
        <w:t>（2）</w:t>
      </w:r>
      <w:r>
        <w:rPr>
          <w:rFonts w:hint="eastAsia" w:eastAsia="楷体_GB2312"/>
          <w:b/>
          <w:bCs/>
          <w:i/>
          <w:iCs/>
          <w:color w:val="FF0000"/>
          <w:sz w:val="24"/>
        </w:rPr>
        <w:t>清仓回购价格应注意参考公允价值予以确定</w:t>
      </w:r>
      <w:r>
        <w:rPr>
          <w:rFonts w:eastAsia="楷体_GB2312"/>
          <w:b/>
          <w:bCs/>
          <w:i/>
          <w:iCs/>
          <w:color w:val="FF0000"/>
          <w:sz w:val="24"/>
        </w:rPr>
        <w:t>。</w:t>
      </w:r>
      <w:r>
        <w:rPr>
          <w:rFonts w:hint="eastAsia" w:eastAsia="楷体_GB2312"/>
          <w:b/>
          <w:bCs/>
          <w:i/>
          <w:iCs/>
          <w:color w:val="FF0000"/>
          <w:sz w:val="24"/>
        </w:rPr>
        <w:t>如</w:t>
      </w:r>
      <w:r>
        <w:rPr>
          <w:rFonts w:eastAsia="楷体_GB2312"/>
          <w:b/>
          <w:bCs/>
          <w:i/>
          <w:iCs/>
          <w:color w:val="FF0000"/>
          <w:sz w:val="24"/>
        </w:rPr>
        <w:t>资产支持证券持有人</w:t>
      </w:r>
      <w:r>
        <w:rPr>
          <w:rFonts w:hint="eastAsia" w:eastAsia="楷体_GB2312"/>
          <w:b/>
          <w:bCs/>
          <w:i/>
          <w:iCs/>
          <w:color w:val="FF0000"/>
          <w:sz w:val="24"/>
        </w:rPr>
        <w:t>有异议，在</w:t>
      </w:r>
      <w:r>
        <w:rPr>
          <w:rFonts w:eastAsia="楷体_GB2312"/>
          <w:b/>
          <w:bCs/>
          <w:i/>
          <w:iCs/>
          <w:color w:val="FF0000"/>
          <w:sz w:val="24"/>
        </w:rPr>
        <w:t>收到受托人</w:t>
      </w:r>
      <w:r>
        <w:rPr>
          <w:rFonts w:hint="eastAsia" w:eastAsia="楷体_GB2312"/>
          <w:b/>
          <w:bCs/>
          <w:i/>
          <w:iCs/>
          <w:color w:val="FF0000"/>
          <w:sz w:val="24"/>
        </w:rPr>
        <w:t>书面</w:t>
      </w:r>
      <w:r>
        <w:rPr>
          <w:rFonts w:eastAsia="楷体_GB2312"/>
          <w:b/>
          <w:bCs/>
          <w:i/>
          <w:iCs/>
          <w:color w:val="FF0000"/>
          <w:sz w:val="24"/>
        </w:rPr>
        <w:t>通知后，可以</w:t>
      </w:r>
      <w:r>
        <w:rPr>
          <w:rFonts w:hint="eastAsia" w:eastAsia="楷体_GB2312"/>
          <w:b/>
          <w:bCs/>
          <w:i/>
          <w:iCs/>
          <w:color w:val="FF0000"/>
          <w:sz w:val="24"/>
        </w:rPr>
        <w:t>在约定时间内，根据</w:t>
      </w:r>
      <w:r>
        <w:rPr>
          <w:rFonts w:eastAsia="楷体_GB2312"/>
          <w:b/>
          <w:bCs/>
          <w:i/>
          <w:iCs/>
          <w:color w:val="FF0000"/>
          <w:sz w:val="24"/>
        </w:rPr>
        <w:t>《信托合同》</w:t>
      </w:r>
      <w:r>
        <w:rPr>
          <w:rFonts w:hint="eastAsia" w:eastAsia="楷体_GB2312"/>
          <w:b/>
          <w:bCs/>
          <w:i/>
          <w:iCs/>
          <w:color w:val="FF0000"/>
          <w:sz w:val="24"/>
        </w:rPr>
        <w:t>第18.2.3款</w:t>
      </w:r>
      <w:r>
        <w:rPr>
          <w:rFonts w:eastAsia="楷体_GB2312"/>
          <w:b/>
          <w:bCs/>
          <w:i/>
          <w:iCs/>
          <w:color w:val="FF0000"/>
          <w:sz w:val="24"/>
        </w:rPr>
        <w:t>请求受托人召集资产支持证券持有人大会</w:t>
      </w:r>
      <w:r>
        <w:rPr>
          <w:rFonts w:hint="eastAsia" w:eastAsia="楷体_GB2312"/>
          <w:b/>
          <w:bCs/>
          <w:i/>
          <w:iCs/>
          <w:color w:val="FF0000"/>
          <w:sz w:val="24"/>
        </w:rPr>
        <w:t>，届时将</w:t>
      </w:r>
      <w:r>
        <w:rPr>
          <w:rFonts w:eastAsia="楷体_GB2312"/>
          <w:b/>
          <w:bCs/>
          <w:i/>
          <w:iCs/>
          <w:color w:val="FF0000"/>
          <w:sz w:val="24"/>
        </w:rPr>
        <w:t>由资产支持证券持有人大会就清仓回购价格作出决议，并</w:t>
      </w:r>
      <w:r>
        <w:rPr>
          <w:rFonts w:hint="eastAsia" w:eastAsia="楷体_GB2312"/>
          <w:b/>
          <w:bCs/>
          <w:i/>
          <w:iCs/>
          <w:color w:val="FF0000"/>
          <w:sz w:val="24"/>
        </w:rPr>
        <w:t>将</w:t>
      </w:r>
      <w:r>
        <w:rPr>
          <w:rFonts w:eastAsia="楷体_GB2312"/>
          <w:b/>
          <w:bCs/>
          <w:i/>
          <w:iCs/>
          <w:color w:val="FF0000"/>
          <w:sz w:val="24"/>
        </w:rPr>
        <w:t>表决结果</w:t>
      </w:r>
      <w:r>
        <w:rPr>
          <w:rFonts w:hint="eastAsia" w:eastAsia="楷体_GB2312"/>
          <w:b/>
          <w:bCs/>
          <w:i/>
          <w:iCs/>
          <w:color w:val="FF0000"/>
          <w:sz w:val="24"/>
        </w:rPr>
        <w:t>作为最终的</w:t>
      </w:r>
      <w:r>
        <w:rPr>
          <w:rFonts w:eastAsia="楷体_GB2312"/>
          <w:b/>
          <w:bCs/>
          <w:i/>
          <w:iCs/>
          <w:color w:val="FF0000"/>
          <w:sz w:val="24"/>
        </w:rPr>
        <w:t>清仓回购价格</w:t>
      </w:r>
      <w:r>
        <w:rPr>
          <w:rFonts w:hint="eastAsia" w:eastAsia="楷体_GB2312"/>
          <w:b/>
          <w:bCs/>
          <w:i/>
          <w:iCs/>
          <w:color w:val="FF0000"/>
          <w:sz w:val="24"/>
        </w:rPr>
        <w:t>。</w:t>
      </w:r>
      <w:r>
        <w:rPr>
          <w:rFonts w:eastAsia="楷体_GB2312"/>
          <w:b/>
          <w:i/>
          <w:color w:val="FF0000"/>
          <w:sz w:val="24"/>
        </w:rPr>
        <w:t>】</w:t>
      </w:r>
      <w:bookmarkEnd w:id="479"/>
    </w:p>
    <w:p w14:paraId="2BB73E4C">
      <w:pPr>
        <w:numPr>
          <w:ilvl w:val="1"/>
          <w:numId w:val="4"/>
        </w:numPr>
        <w:tabs>
          <w:tab w:val="left" w:pos="992"/>
        </w:tabs>
        <w:spacing w:before="156" w:beforeLines="50" w:after="156" w:afterLines="50" w:line="360" w:lineRule="auto"/>
        <w:ind w:left="992" w:hanging="567"/>
        <w:rPr>
          <w:rFonts w:eastAsia="楷体_GB2312"/>
          <w:sz w:val="24"/>
        </w:rPr>
      </w:pPr>
      <w:bookmarkStart w:id="480" w:name="_DV_M212"/>
      <w:bookmarkEnd w:id="480"/>
      <w:r>
        <w:rPr>
          <w:rFonts w:eastAsia="楷体_GB2312"/>
          <w:sz w:val="24"/>
        </w:rPr>
        <w:t>如果“委托人”接受上述第</w:t>
      </w:r>
      <w:r>
        <w:rPr>
          <w:rFonts w:eastAsia="楷体_GB2312"/>
          <w:sz w:val="24"/>
        </w:rPr>
        <w:fldChar w:fldCharType="begin"/>
      </w:r>
      <w:r>
        <w:rPr>
          <w:rFonts w:eastAsia="楷体_GB2312"/>
          <w:sz w:val="24"/>
        </w:rPr>
        <w:instrText xml:space="preserve"> REF _Ref402964822 \r \h  \* MERGEFORMAT </w:instrText>
      </w:r>
      <w:r>
        <w:rPr>
          <w:rFonts w:eastAsia="楷体_GB2312"/>
          <w:sz w:val="24"/>
        </w:rPr>
        <w:fldChar w:fldCharType="separate"/>
      </w:r>
      <w:r>
        <w:rPr>
          <w:rFonts w:eastAsia="楷体_GB2312"/>
          <w:sz w:val="24"/>
        </w:rPr>
        <w:t>14.4</w:t>
      </w:r>
      <w:r>
        <w:rPr>
          <w:rFonts w:eastAsia="楷体_GB2312"/>
          <w:sz w:val="24"/>
        </w:rPr>
        <w:fldChar w:fldCharType="end"/>
      </w:r>
      <w:r>
        <w:rPr>
          <w:rFonts w:eastAsia="楷体_GB2312"/>
          <w:sz w:val="24"/>
        </w:rPr>
        <w:t>款要约，则应在收到该要约通知后【】个“工作日”内，向“受托人”书面发出不可撤销的承诺通知（格式见本合同</w:t>
      </w:r>
      <w:r>
        <w:rPr>
          <w:rFonts w:eastAsia="楷体_GB2312"/>
          <w:b/>
          <w:i/>
          <w:sz w:val="24"/>
        </w:rPr>
        <w:t>附件八</w:t>
      </w:r>
      <w:r>
        <w:rPr>
          <w:rFonts w:eastAsia="楷体_GB2312"/>
          <w:sz w:val="24"/>
        </w:rPr>
        <w:t>），并抄送“评级机构”。在“委托人”于“相关收款期间”结束后的第一个“回收款转付日”（或“受托人”和“委托人”同意的更晚日期）将相当于“清仓回购价格”的资金（但“委托人”根据第</w:t>
      </w:r>
      <w:r>
        <w:rPr>
          <w:rFonts w:eastAsia="楷体_GB2312"/>
          <w:sz w:val="24"/>
        </w:rPr>
        <w:fldChar w:fldCharType="begin"/>
      </w:r>
      <w:r>
        <w:rPr>
          <w:rFonts w:eastAsia="楷体_GB2312"/>
          <w:sz w:val="24"/>
        </w:rPr>
        <w:instrText xml:space="preserve"> REF _Ref322614854 \r \h  \* MERGEFORMAT </w:instrText>
      </w:r>
      <w:r>
        <w:rPr>
          <w:rFonts w:eastAsia="楷体_GB2312"/>
          <w:sz w:val="24"/>
        </w:rPr>
        <w:fldChar w:fldCharType="separate"/>
      </w:r>
      <w:r>
        <w:rPr>
          <w:rFonts w:eastAsia="楷体_GB2312"/>
          <w:sz w:val="24"/>
        </w:rPr>
        <w:t>14.7</w:t>
      </w:r>
      <w:r>
        <w:rPr>
          <w:rFonts w:eastAsia="楷体_GB2312"/>
          <w:sz w:val="24"/>
        </w:rPr>
        <w:fldChar w:fldCharType="end"/>
      </w:r>
      <w:r>
        <w:rPr>
          <w:rFonts w:eastAsia="楷体_GB2312"/>
          <w:sz w:val="24"/>
        </w:rPr>
        <w:t>款有权扣除的款项除外）支付至“信托账户”后，“信贷资产”的“清仓回购”即告完成。“受托人”应将“信托账户”收到的“清仓回购价格”款项视情况分别相应记入“收益账”和“本金账”。</w:t>
      </w:r>
    </w:p>
    <w:p w14:paraId="2FDDB4EA">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“委托人”应于“相关收款期间”结束后的第一个“回收款转付日”当日或之前向“受托人”和“评级机构”交付一份“清偿能力证明”，该证明须写明“清仓回购”的日期，并由“委托人”的授权签署人签署。</w:t>
      </w:r>
    </w:p>
    <w:p w14:paraId="67723D89">
      <w:pPr>
        <w:numPr>
          <w:ilvl w:val="1"/>
          <w:numId w:val="4"/>
        </w:numPr>
        <w:tabs>
          <w:tab w:val="left" w:pos="992"/>
        </w:tabs>
        <w:spacing w:before="156" w:beforeLines="50" w:after="156" w:afterLines="50" w:line="360" w:lineRule="auto"/>
        <w:ind w:left="992" w:hanging="567"/>
        <w:rPr>
          <w:rFonts w:eastAsia="楷体_GB2312"/>
          <w:sz w:val="24"/>
        </w:rPr>
      </w:pPr>
      <w:bookmarkStart w:id="481" w:name="_DV_M213"/>
      <w:bookmarkEnd w:id="481"/>
      <w:bookmarkStart w:id="482" w:name="_Ref322614854"/>
      <w:r>
        <w:rPr>
          <w:rFonts w:eastAsia="楷体_GB2312"/>
          <w:sz w:val="24"/>
        </w:rPr>
        <w:t>自“信托账户”收到“委托人”支付的相当于“清仓回购价格”的资金（但“委托人”根据本</w:t>
      </w:r>
      <w:r>
        <w:rPr>
          <w:rFonts w:eastAsia="楷体_GB2312"/>
          <w:sz w:val="24"/>
        </w:rPr>
        <w:fldChar w:fldCharType="begin"/>
      </w:r>
      <w:r>
        <w:rPr>
          <w:rFonts w:eastAsia="楷体_GB2312"/>
          <w:sz w:val="24"/>
        </w:rPr>
        <w:instrText xml:space="preserve"> REF _Ref322614854 \r \h  \* MERGEFORMAT </w:instrText>
      </w:r>
      <w:r>
        <w:rPr>
          <w:rFonts w:eastAsia="楷体_GB2312"/>
          <w:sz w:val="24"/>
        </w:rPr>
        <w:fldChar w:fldCharType="separate"/>
      </w:r>
      <w:r>
        <w:rPr>
          <w:rFonts w:eastAsia="楷体_GB2312"/>
          <w:sz w:val="24"/>
        </w:rPr>
        <w:t>14.7</w:t>
      </w:r>
      <w:r>
        <w:rPr>
          <w:rFonts w:eastAsia="楷体_GB2312"/>
          <w:sz w:val="24"/>
        </w:rPr>
        <w:fldChar w:fldCharType="end"/>
      </w:r>
      <w:r>
        <w:rPr>
          <w:rFonts w:eastAsia="楷体_GB2312"/>
          <w:sz w:val="24"/>
        </w:rPr>
        <w:t>款有权扣除的款项除外）之日，“受托人”截至“回购起算日”【】时对剩余“信贷资产”和“账户记录”的（现时的和未来的、实际的和或有的）全部权利、所有权、利益和收益自动转让给“委托人”享有，自“回购起算日”【】时起“信贷资产”所产生的全部“回收款”为“委托人”所有，如果“贷款服务机构”已经将“相关收款期间”产生的“回收款”转付给“受托人”的，“委托人”可从其支付的“清仓回购”价款扣除该等“回收款”，如“贷款服务机构”尚未将“相关收款期间”产生的“回收款”转付给“受托人”的，“受托人”可指示“贷款服务机构”向“委托人”交付该等“回收款”。此外，在由“委托人”承担费用的前提下，“受托人”应协助“委托人”办理必要的全部变更登记和通知手续。</w:t>
      </w:r>
      <w:bookmarkEnd w:id="482"/>
    </w:p>
    <w:p w14:paraId="24AFAA61">
      <w:pPr>
        <w:pStyle w:val="42"/>
        <w:spacing w:before="156" w:beforeLines="50" w:after="156" w:afterLines="50" w:line="360" w:lineRule="auto"/>
        <w:ind w:left="425" w:firstLine="0" w:firstLineChars="0"/>
        <w:rPr>
          <w:rFonts w:eastAsia="楷体_GB2312"/>
          <w:b/>
          <w:bCs/>
          <w:i/>
          <w:iCs/>
          <w:color w:val="FF0000"/>
          <w:kern w:val="0"/>
          <w:sz w:val="24"/>
        </w:rPr>
      </w:pPr>
      <w:r>
        <w:rPr>
          <w:rFonts w:eastAsia="楷体_GB2312"/>
          <w:b/>
          <w:bCs/>
          <w:i/>
          <w:iCs/>
          <w:color w:val="FF0000"/>
          <w:kern w:val="0"/>
          <w:sz w:val="24"/>
        </w:rPr>
        <w:t>【注：清仓回购各程序的时间要求、清仓回购价格以及回购起算日的设定等，均可根据具体项目需要调整。】</w:t>
      </w:r>
    </w:p>
    <w:p w14:paraId="02281D83">
      <w:pPr>
        <w:numPr>
          <w:ilvl w:val="0"/>
          <w:numId w:val="4"/>
        </w:numPr>
        <w:spacing w:before="156" w:beforeLines="50" w:after="156" w:afterLines="50" w:line="360" w:lineRule="auto"/>
        <w:outlineLvl w:val="0"/>
        <w:rPr>
          <w:rFonts w:eastAsia="楷体_GB2312"/>
          <w:b/>
          <w:sz w:val="24"/>
        </w:rPr>
      </w:pPr>
      <w:bookmarkStart w:id="483" w:name="_Toc110153448"/>
      <w:bookmarkStart w:id="484" w:name="_Toc111281805"/>
      <w:bookmarkStart w:id="485" w:name="_Toc402883945"/>
      <w:bookmarkStart w:id="486" w:name="_Toc221382859"/>
      <w:r>
        <w:rPr>
          <w:rFonts w:eastAsia="楷体_GB2312"/>
          <w:b/>
          <w:sz w:val="24"/>
        </w:rPr>
        <w:t>信</w:t>
      </w:r>
      <w:bookmarkStart w:id="487" w:name="_Toc92612935"/>
      <w:r>
        <w:rPr>
          <w:rFonts w:eastAsia="楷体_GB2312"/>
          <w:b/>
          <w:sz w:val="24"/>
        </w:rPr>
        <w:t>托的核算</w:t>
      </w:r>
      <w:bookmarkEnd w:id="483"/>
      <w:bookmarkEnd w:id="484"/>
      <w:bookmarkEnd w:id="485"/>
      <w:bookmarkEnd w:id="486"/>
    </w:p>
    <w:bookmarkEnd w:id="487"/>
    <w:p w14:paraId="5800EF00">
      <w:pPr>
        <w:numPr>
          <w:ilvl w:val="1"/>
          <w:numId w:val="4"/>
        </w:numPr>
        <w:tabs>
          <w:tab w:val="left" w:pos="992"/>
          <w:tab w:val="left" w:pos="1800"/>
          <w:tab w:val="left" w:pos="1980"/>
        </w:tabs>
        <w:spacing w:before="156" w:beforeLines="50" w:after="156" w:afterLines="50" w:line="360" w:lineRule="auto"/>
        <w:ind w:left="879" w:hanging="454"/>
        <w:rPr>
          <w:rFonts w:eastAsia="楷体_GB2312"/>
          <w:b/>
          <w:bCs/>
          <w:sz w:val="24"/>
        </w:rPr>
      </w:pPr>
      <w:r>
        <w:rPr>
          <w:rFonts w:eastAsia="楷体_GB2312"/>
          <w:b/>
          <w:bCs/>
          <w:sz w:val="24"/>
        </w:rPr>
        <w:t>会计处理依据的法律法规</w:t>
      </w:r>
    </w:p>
    <w:p w14:paraId="36DDA6A0">
      <w:pPr>
        <w:spacing w:before="156" w:beforeLines="50" w:after="156" w:afterLines="50" w:line="360" w:lineRule="auto"/>
        <w:ind w:left="992"/>
        <w:rPr>
          <w:rFonts w:eastAsia="楷体_GB2312"/>
          <w:sz w:val="24"/>
        </w:rPr>
      </w:pPr>
      <w:r>
        <w:rPr>
          <w:rFonts w:eastAsia="楷体_GB2312"/>
          <w:sz w:val="24"/>
        </w:rPr>
        <w:t>“受托人”应按照《中华人民共和国信托法》、《企业会计准则》和其他涉及金融资产转让的会计制度，以及</w:t>
      </w:r>
      <w:r>
        <w:rPr>
          <w:rFonts w:eastAsia="楷体_GB2312"/>
          <w:bCs/>
          <w:sz w:val="24"/>
        </w:rPr>
        <w:t>“</w:t>
      </w:r>
      <w:r>
        <w:rPr>
          <w:rFonts w:eastAsia="楷体_GB2312"/>
          <w:sz w:val="24"/>
        </w:rPr>
        <w:t>金融监管总局</w:t>
      </w:r>
      <w:r>
        <w:rPr>
          <w:rFonts w:eastAsia="楷体_GB2312"/>
          <w:bCs/>
          <w:sz w:val="24"/>
        </w:rPr>
        <w:t>”</w:t>
      </w:r>
      <w:r>
        <w:rPr>
          <w:rFonts w:eastAsia="楷体_GB2312"/>
          <w:sz w:val="24"/>
        </w:rPr>
        <w:t>对信托公司的监管要求进行“信托财产”记账和会计核算。</w:t>
      </w:r>
    </w:p>
    <w:p w14:paraId="704E0783">
      <w:pPr>
        <w:numPr>
          <w:ilvl w:val="1"/>
          <w:numId w:val="4"/>
        </w:numPr>
        <w:tabs>
          <w:tab w:val="left" w:pos="992"/>
          <w:tab w:val="left" w:pos="1800"/>
          <w:tab w:val="left" w:pos="1980"/>
        </w:tabs>
        <w:spacing w:before="156" w:beforeLines="50" w:after="156" w:afterLines="50" w:line="360" w:lineRule="auto"/>
        <w:ind w:left="879" w:hanging="454"/>
        <w:rPr>
          <w:rFonts w:eastAsia="楷体_GB2312"/>
          <w:b/>
          <w:sz w:val="24"/>
        </w:rPr>
      </w:pPr>
      <w:r>
        <w:rPr>
          <w:rFonts w:eastAsia="楷体_GB2312"/>
          <w:b/>
          <w:sz w:val="24"/>
        </w:rPr>
        <w:t>分账</w:t>
      </w:r>
      <w:r>
        <w:rPr>
          <w:rFonts w:eastAsia="楷体_GB2312"/>
          <w:b/>
          <w:bCs/>
          <w:sz w:val="24"/>
        </w:rPr>
        <w:t>核算</w:t>
      </w:r>
    </w:p>
    <w:p w14:paraId="7C83200D">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“受托人”开立“信托账户”专门用于“信托”项下的资金结算，进行核算管理，确保“信托”项下的“信托财产”与“受托人”的固有财产和其他信托项下的财产分开管理、分账核算。</w:t>
      </w:r>
    </w:p>
    <w:p w14:paraId="4D718F7A">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“受托人”为“信托”建立单独的会计记录和财务报表，确保“信托财产”的独立性。</w:t>
      </w:r>
    </w:p>
    <w:p w14:paraId="189A25CC">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信托”将作为独立的会计核算主体，以持续经营为前提，单独记账、单独核算、单独编制财务会计报告，独立核算“信托财产”的管理、运用和处分情况。“受托人”、“贷款服务机构”和“资金保管机构”分工完成整个“信托期限”的会计处理；“受托人”依照“贷款服务机构”和“资金保管机构”分别提供的“贷款服务机构报告”、“贷款服务机构”会计信息、资金保管报告等信息进行会计核算，编制“信托”的会计报表。“信托”会计处理的具体原则和方式参见本合同</w:t>
      </w:r>
      <w:r>
        <w:rPr>
          <w:rFonts w:eastAsia="楷体_GB2312"/>
          <w:b/>
          <w:i/>
          <w:sz w:val="24"/>
        </w:rPr>
        <w:t>附件九</w:t>
      </w:r>
      <w:r>
        <w:rPr>
          <w:rFonts w:eastAsia="楷体_GB2312"/>
          <w:sz w:val="24"/>
        </w:rPr>
        <w:t>。</w:t>
      </w:r>
    </w:p>
    <w:p w14:paraId="6CA8BADB">
      <w:pPr>
        <w:numPr>
          <w:ilvl w:val="0"/>
          <w:numId w:val="4"/>
        </w:numPr>
        <w:spacing w:before="156" w:beforeLines="50" w:after="156" w:afterLines="50" w:line="360" w:lineRule="auto"/>
        <w:outlineLvl w:val="0"/>
        <w:rPr>
          <w:rFonts w:eastAsia="楷体_GB2312"/>
          <w:b/>
          <w:sz w:val="24"/>
        </w:rPr>
      </w:pPr>
      <w:bookmarkStart w:id="488" w:name="_Toc111281807"/>
      <w:bookmarkStart w:id="489" w:name="_Toc110153450"/>
      <w:bookmarkStart w:id="490" w:name="_Toc221382860"/>
      <w:bookmarkStart w:id="491" w:name="_Toc402883946"/>
      <w:bookmarkStart w:id="492" w:name="_Toc92612937"/>
      <w:bookmarkStart w:id="493" w:name="_Hlk507251986"/>
      <w:r>
        <w:rPr>
          <w:rFonts w:eastAsia="楷体_GB2312"/>
          <w:b/>
          <w:sz w:val="24"/>
        </w:rPr>
        <w:t>费用</w:t>
      </w:r>
      <w:bookmarkEnd w:id="488"/>
      <w:bookmarkEnd w:id="489"/>
      <w:r>
        <w:rPr>
          <w:rFonts w:eastAsia="楷体_GB2312"/>
          <w:b/>
          <w:sz w:val="24"/>
        </w:rPr>
        <w:t>的承担</w:t>
      </w:r>
      <w:bookmarkEnd w:id="490"/>
      <w:bookmarkEnd w:id="491"/>
    </w:p>
    <w:p w14:paraId="201542CB">
      <w:pPr>
        <w:spacing w:line="360" w:lineRule="auto"/>
        <w:ind w:firstLine="420"/>
        <w:rPr>
          <w:rFonts w:eastAsia="楷体_GB2312"/>
          <w:b/>
          <w:i/>
          <w:color w:val="FF0000"/>
          <w:sz w:val="24"/>
        </w:rPr>
      </w:pPr>
      <w:bookmarkStart w:id="494" w:name="_Toc518577584"/>
      <w:bookmarkStart w:id="495" w:name="_Toc518635184"/>
      <w:r>
        <w:rPr>
          <w:rFonts w:eastAsia="楷体_GB2312"/>
          <w:b/>
          <w:i/>
          <w:color w:val="FF0000"/>
          <w:sz w:val="24"/>
        </w:rPr>
        <w:t>【注：费用的承担可根据项目安排进行调整。】</w:t>
      </w:r>
      <w:bookmarkEnd w:id="494"/>
      <w:bookmarkEnd w:id="495"/>
    </w:p>
    <w:bookmarkEnd w:id="492"/>
    <w:p w14:paraId="6AB03A7D">
      <w:pPr>
        <w:numPr>
          <w:ilvl w:val="1"/>
          <w:numId w:val="4"/>
        </w:numPr>
        <w:tabs>
          <w:tab w:val="left" w:pos="992"/>
          <w:tab w:val="left" w:pos="1800"/>
          <w:tab w:val="left" w:pos="1980"/>
        </w:tabs>
        <w:spacing w:before="156" w:beforeLines="50" w:after="156" w:afterLines="50" w:line="360" w:lineRule="auto"/>
        <w:ind w:left="879" w:hanging="454"/>
        <w:rPr>
          <w:rFonts w:eastAsia="楷体_GB2312"/>
          <w:b/>
          <w:sz w:val="24"/>
        </w:rPr>
      </w:pPr>
      <w:r>
        <w:rPr>
          <w:rFonts w:eastAsia="楷体_GB2312"/>
          <w:b/>
          <w:sz w:val="24"/>
        </w:rPr>
        <w:t>信托设立前费用的承担</w:t>
      </w:r>
    </w:p>
    <w:p w14:paraId="05C0B7F6">
      <w:pPr>
        <w:numPr>
          <w:ilvl w:val="2"/>
          <w:numId w:val="4"/>
        </w:numPr>
        <w:tabs>
          <w:tab w:val="left" w:pos="1843"/>
        </w:tabs>
        <w:spacing w:before="156" w:beforeLines="50" w:after="156" w:afterLines="50" w:line="360" w:lineRule="auto"/>
        <w:ind w:left="1843" w:hanging="851"/>
        <w:rPr>
          <w:rFonts w:eastAsia="楷体_GB2312"/>
          <w:b/>
          <w:sz w:val="24"/>
        </w:rPr>
      </w:pPr>
      <w:r>
        <w:rPr>
          <w:rFonts w:eastAsia="楷体_GB2312"/>
          <w:b/>
          <w:bCs/>
          <w:sz w:val="24"/>
        </w:rPr>
        <w:t>委托人</w:t>
      </w:r>
      <w:r>
        <w:rPr>
          <w:rFonts w:eastAsia="楷体_GB2312"/>
          <w:b/>
          <w:sz w:val="24"/>
        </w:rPr>
        <w:t>承担的费用</w:t>
      </w:r>
    </w:p>
    <w:p w14:paraId="4D5E1715">
      <w:pPr>
        <w:spacing w:before="156" w:beforeLines="50" w:after="156" w:afterLines="50" w:line="360" w:lineRule="auto"/>
        <w:ind w:left="1843"/>
        <w:rPr>
          <w:rFonts w:eastAsia="楷体_GB2312"/>
          <w:sz w:val="24"/>
        </w:rPr>
      </w:pPr>
      <w:r>
        <w:rPr>
          <w:rFonts w:eastAsia="楷体_GB2312"/>
          <w:sz w:val="24"/>
        </w:rPr>
        <w:t>以下费用由“委托人”承担：</w:t>
      </w:r>
    </w:p>
    <w:p w14:paraId="2DA85BBE">
      <w:pPr>
        <w:numPr>
          <w:ilvl w:val="0"/>
          <w:numId w:val="29"/>
        </w:numPr>
        <w:spacing w:before="156" w:beforeLines="50" w:after="156" w:afterLines="50" w:line="360" w:lineRule="auto"/>
        <w:ind w:left="2268"/>
        <w:rPr>
          <w:rFonts w:eastAsia="楷体_GB2312"/>
          <w:sz w:val="24"/>
        </w:rPr>
      </w:pPr>
      <w:r>
        <w:rPr>
          <w:rFonts w:eastAsia="楷体_GB2312"/>
          <w:sz w:val="24"/>
        </w:rPr>
        <w:t>发送“权利完善通知”的费用（如有）；</w:t>
      </w:r>
    </w:p>
    <w:p w14:paraId="2ED45D12">
      <w:pPr>
        <w:numPr>
          <w:ilvl w:val="0"/>
          <w:numId w:val="29"/>
        </w:numPr>
        <w:spacing w:before="156" w:beforeLines="50" w:after="156" w:afterLines="50" w:line="360" w:lineRule="auto"/>
        <w:ind w:left="2268"/>
        <w:rPr>
          <w:rFonts w:eastAsia="楷体_GB2312"/>
          <w:sz w:val="24"/>
        </w:rPr>
      </w:pPr>
      <w:r>
        <w:rPr>
          <w:rFonts w:eastAsia="楷体_GB2312"/>
          <w:sz w:val="24"/>
        </w:rPr>
        <w:t>因进行“不合格信贷资产”“赎回”所发生的费用（如有）；</w:t>
      </w:r>
    </w:p>
    <w:p w14:paraId="2403353C">
      <w:pPr>
        <w:numPr>
          <w:ilvl w:val="0"/>
          <w:numId w:val="29"/>
        </w:numPr>
        <w:spacing w:before="156" w:beforeLines="50" w:after="156" w:afterLines="50" w:line="360" w:lineRule="auto"/>
        <w:ind w:left="2268"/>
        <w:rPr>
          <w:rFonts w:eastAsia="楷体_GB2312"/>
          <w:sz w:val="24"/>
        </w:rPr>
      </w:pPr>
      <w:r>
        <w:rPr>
          <w:rFonts w:eastAsia="楷体_GB2312"/>
          <w:sz w:val="24"/>
        </w:rPr>
        <w:t>发生“清仓回购”的，“受托人”配合“委托人”办理必要的转移、变更登记和通知手续（如有）所发生的费用；</w:t>
      </w:r>
    </w:p>
    <w:p w14:paraId="2A1E1365">
      <w:pPr>
        <w:numPr>
          <w:ilvl w:val="0"/>
          <w:numId w:val="29"/>
        </w:numPr>
        <w:spacing w:before="156" w:beforeLines="50" w:after="156" w:afterLines="50" w:line="360" w:lineRule="auto"/>
        <w:ind w:left="2268"/>
        <w:rPr>
          <w:rFonts w:eastAsia="楷体_GB2312"/>
          <w:sz w:val="24"/>
        </w:rPr>
      </w:pPr>
      <w:bookmarkStart w:id="496" w:name="_Ref112665333"/>
      <w:r>
        <w:rPr>
          <w:rFonts w:eastAsia="楷体_GB2312"/>
          <w:sz w:val="24"/>
        </w:rPr>
        <w:t>“发行费用”。“承销报酬”由“牵头主承销商”自“资产支持证券募集资金”中直接扣除，“发行费用”（除“承销报酬”、初始评级应付的报酬费用外）由“受托人”从“资产支持证券募集资金”中提取，并分别支付给受托进行尽职调查并出具专业意见的“法律顾问”和“会计顾问”。</w:t>
      </w:r>
      <w:bookmarkEnd w:id="496"/>
    </w:p>
    <w:p w14:paraId="5EDABFF0">
      <w:pPr>
        <w:numPr>
          <w:ilvl w:val="2"/>
          <w:numId w:val="4"/>
        </w:numPr>
        <w:tabs>
          <w:tab w:val="left" w:pos="1843"/>
        </w:tabs>
        <w:spacing w:before="156" w:beforeLines="50" w:after="156" w:afterLines="50" w:line="360" w:lineRule="auto"/>
        <w:ind w:left="1843" w:hanging="851"/>
        <w:rPr>
          <w:rFonts w:eastAsia="楷体_GB2312"/>
          <w:b/>
          <w:sz w:val="24"/>
        </w:rPr>
      </w:pPr>
      <w:r>
        <w:rPr>
          <w:rFonts w:eastAsia="楷体_GB2312"/>
          <w:b/>
          <w:sz w:val="24"/>
        </w:rPr>
        <w:t>上市流通费用的承担</w:t>
      </w:r>
    </w:p>
    <w:p w14:paraId="09024783">
      <w:pPr>
        <w:spacing w:before="156" w:beforeLines="50" w:after="156" w:afterLines="50" w:line="360" w:lineRule="auto"/>
        <w:ind w:left="1843"/>
        <w:rPr>
          <w:rFonts w:eastAsia="楷体_GB2312"/>
          <w:sz w:val="24"/>
        </w:rPr>
      </w:pPr>
      <w:r>
        <w:rPr>
          <w:rFonts w:eastAsia="楷体_GB2312"/>
          <w:sz w:val="24"/>
        </w:rPr>
        <w:t>相关级别“资产支持证券”的上市流通费用（如有），可先由“受托人”垫付，再由“信托财产”承担。</w:t>
      </w:r>
    </w:p>
    <w:p w14:paraId="377E2097">
      <w:pPr>
        <w:numPr>
          <w:ilvl w:val="2"/>
          <w:numId w:val="4"/>
        </w:numPr>
        <w:tabs>
          <w:tab w:val="left" w:pos="1843"/>
        </w:tabs>
        <w:spacing w:before="156" w:beforeLines="50" w:after="156" w:afterLines="50" w:line="360" w:lineRule="auto"/>
        <w:ind w:left="1843" w:hanging="851"/>
        <w:rPr>
          <w:rFonts w:eastAsia="楷体_GB2312"/>
          <w:b/>
          <w:sz w:val="24"/>
        </w:rPr>
      </w:pPr>
      <w:r>
        <w:rPr>
          <w:rFonts w:eastAsia="楷体_GB2312"/>
          <w:b/>
          <w:sz w:val="24"/>
        </w:rPr>
        <w:t>抵押设立转移登记费用的承担</w:t>
      </w:r>
    </w:p>
    <w:p w14:paraId="7CB51CF0">
      <w:pPr>
        <w:spacing w:before="156" w:beforeLines="50" w:after="156" w:afterLines="50" w:line="360" w:lineRule="auto"/>
        <w:ind w:left="1843"/>
        <w:rPr>
          <w:rFonts w:eastAsia="楷体_GB2312"/>
          <w:sz w:val="24"/>
        </w:rPr>
      </w:pPr>
      <w:r>
        <w:rPr>
          <w:rFonts w:eastAsia="楷体_GB2312"/>
          <w:sz w:val="24"/>
        </w:rPr>
        <w:t>根据本合同第</w:t>
      </w:r>
      <w:r>
        <w:rPr>
          <w:rFonts w:eastAsia="楷体_GB2312"/>
          <w:sz w:val="24"/>
        </w:rPr>
        <w:fldChar w:fldCharType="begin"/>
      </w:r>
      <w:r>
        <w:rPr>
          <w:rFonts w:eastAsia="楷体_GB2312"/>
          <w:sz w:val="24"/>
        </w:rPr>
        <w:instrText xml:space="preserve"> REF _Ref432774071 \r \h  \* MERGEFORMAT </w:instrText>
      </w:r>
      <w:r>
        <w:rPr>
          <w:rFonts w:eastAsia="楷体_GB2312"/>
          <w:sz w:val="24"/>
        </w:rPr>
        <w:fldChar w:fldCharType="separate"/>
      </w:r>
      <w:r>
        <w:rPr>
          <w:rFonts w:eastAsia="楷体_GB2312"/>
          <w:sz w:val="24"/>
        </w:rPr>
        <w:t>3.10</w:t>
      </w:r>
      <w:r>
        <w:rPr>
          <w:rFonts w:eastAsia="楷体_GB2312"/>
          <w:sz w:val="24"/>
        </w:rPr>
        <w:fldChar w:fldCharType="end"/>
      </w:r>
      <w:r>
        <w:rPr>
          <w:rFonts w:eastAsia="楷体_GB2312"/>
          <w:sz w:val="24"/>
        </w:rPr>
        <w:t>款的约定为办理“信贷资产”项下“抵押权”和“抵押权预告登记权益”的设立、转移登记所产生的费用由“委托人”承担。</w:t>
      </w:r>
    </w:p>
    <w:p w14:paraId="4B242C75">
      <w:pPr>
        <w:numPr>
          <w:ilvl w:val="1"/>
          <w:numId w:val="4"/>
        </w:numPr>
        <w:tabs>
          <w:tab w:val="left" w:pos="992"/>
          <w:tab w:val="left" w:pos="1800"/>
          <w:tab w:val="left" w:pos="1980"/>
        </w:tabs>
        <w:spacing w:before="156" w:beforeLines="50" w:after="156" w:afterLines="50" w:line="360" w:lineRule="auto"/>
        <w:ind w:left="879" w:hanging="454"/>
        <w:rPr>
          <w:rFonts w:eastAsia="楷体_GB2312"/>
          <w:sz w:val="24"/>
        </w:rPr>
      </w:pPr>
      <w:r>
        <w:rPr>
          <w:rFonts w:eastAsia="楷体_GB2312"/>
          <w:b/>
          <w:sz w:val="24"/>
        </w:rPr>
        <w:t>信托期限内费用的承担</w:t>
      </w:r>
    </w:p>
    <w:p w14:paraId="45CA555A">
      <w:pPr>
        <w:spacing w:before="156" w:beforeLines="50" w:after="156" w:afterLines="50" w:line="360" w:lineRule="auto"/>
        <w:ind w:left="992"/>
        <w:rPr>
          <w:rFonts w:eastAsia="楷体_GB2312"/>
          <w:sz w:val="24"/>
        </w:rPr>
      </w:pPr>
      <w:r>
        <w:rPr>
          <w:rFonts w:eastAsia="楷体_GB2312"/>
          <w:sz w:val="24"/>
        </w:rPr>
        <w:t>在“信托期限”内，下列费用应由“信托财产”承担，并应按照本合同约定的支付顺序予以支付：</w:t>
      </w:r>
    </w:p>
    <w:p w14:paraId="7E393728">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税收及规费（包括但不限于：增值税及附加、所得税，“受托人”因受托本信托业务而增加的业务规费（如有））；</w:t>
      </w:r>
    </w:p>
    <w:p w14:paraId="7405F516">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“费用支出”；</w:t>
      </w:r>
    </w:p>
    <w:p w14:paraId="23983B10">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“受托人”、“贷款服务机构”、“后备贷款服务机构”、“资金保管机构”、“登记托管机构”/“支付代理机构”、“评级机构”的跟踪评级费用（如有）、“审计师”的报酬；</w:t>
      </w:r>
    </w:p>
    <w:p w14:paraId="221EA836">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“执行费用”；</w:t>
      </w:r>
    </w:p>
    <w:p w14:paraId="0D27D977">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“信托”清算期间所发生的与“信托财产”清算相关的清算费用；</w:t>
      </w:r>
    </w:p>
    <w:p w14:paraId="4CCE6666">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“资产支持证券”发行之日应支付给“登记托管机构”的登记托管服务费；</w:t>
      </w:r>
    </w:p>
    <w:p w14:paraId="253B2B6D">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其他为管理“信托财产”所支出的必要费用。</w:t>
      </w:r>
    </w:p>
    <w:p w14:paraId="69FDBC4D">
      <w:pPr>
        <w:tabs>
          <w:tab w:val="left" w:pos="1701"/>
        </w:tabs>
        <w:spacing w:before="156" w:beforeLines="50" w:after="156" w:afterLines="50" w:line="360" w:lineRule="auto"/>
        <w:ind w:left="992"/>
        <w:rPr>
          <w:rFonts w:eastAsia="楷体_GB2312"/>
          <w:b/>
          <w:bCs/>
          <w:i/>
          <w:iCs/>
          <w:color w:val="FF0000"/>
          <w:sz w:val="24"/>
        </w:rPr>
      </w:pPr>
      <w:r>
        <w:rPr>
          <w:rFonts w:eastAsia="楷体_GB2312"/>
          <w:b/>
          <w:bCs/>
          <w:i/>
          <w:iCs/>
          <w:color w:val="FF0000"/>
          <w:sz w:val="24"/>
        </w:rPr>
        <w:t>【注：信托财产承担费用的范围根据具体项目的需要进行调整。】</w:t>
      </w:r>
    </w:p>
    <w:p w14:paraId="462DCFA8">
      <w:pPr>
        <w:numPr>
          <w:ilvl w:val="1"/>
          <w:numId w:val="4"/>
        </w:numPr>
        <w:tabs>
          <w:tab w:val="left" w:pos="992"/>
          <w:tab w:val="left" w:pos="1800"/>
          <w:tab w:val="left" w:pos="1980"/>
        </w:tabs>
        <w:spacing w:before="156" w:beforeLines="50" w:after="156" w:afterLines="50" w:line="360" w:lineRule="auto"/>
        <w:ind w:left="879" w:hanging="454"/>
        <w:rPr>
          <w:rFonts w:eastAsia="楷体_GB2312"/>
          <w:sz w:val="24"/>
        </w:rPr>
      </w:pPr>
      <w:r>
        <w:rPr>
          <w:rFonts w:eastAsia="楷体_GB2312"/>
          <w:b/>
          <w:sz w:val="24"/>
        </w:rPr>
        <w:t>受托</w:t>
      </w:r>
      <w:bookmarkStart w:id="497" w:name="_Toc92612939"/>
      <w:r>
        <w:rPr>
          <w:rFonts w:eastAsia="楷体_GB2312"/>
          <w:b/>
          <w:sz w:val="24"/>
        </w:rPr>
        <w:t>人的报酬</w:t>
      </w:r>
      <w:bookmarkEnd w:id="497"/>
    </w:p>
    <w:p w14:paraId="66843945">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“受托人”根据本合同履行“受托人”职责的服务报酬应为“委托人”与“受托人”签署的“收费文件”（格式见本合同</w:t>
      </w:r>
      <w:r>
        <w:rPr>
          <w:rFonts w:eastAsia="楷体_GB2312"/>
          <w:b/>
          <w:bCs/>
          <w:i/>
          <w:iCs/>
          <w:sz w:val="24"/>
        </w:rPr>
        <w:t>附件十二</w:t>
      </w:r>
      <w:r>
        <w:rPr>
          <w:rFonts w:eastAsia="楷体_GB2312"/>
          <w:sz w:val="24"/>
        </w:rPr>
        <w:t>）中列示的金额，并按照本合同第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条约定的支付顺序予以支付。</w:t>
      </w:r>
    </w:p>
    <w:p w14:paraId="7995F2B7">
      <w:pPr>
        <w:spacing w:before="156" w:beforeLines="50" w:after="156" w:afterLines="50" w:line="360" w:lineRule="auto"/>
        <w:ind w:left="1843"/>
        <w:rPr>
          <w:rFonts w:eastAsia="楷体_GB2312"/>
          <w:b/>
          <w:i/>
          <w:color w:val="FF0000"/>
          <w:sz w:val="24"/>
        </w:rPr>
      </w:pPr>
      <w:r>
        <w:rPr>
          <w:rFonts w:eastAsia="楷体_GB2312"/>
          <w:b/>
          <w:i/>
          <w:color w:val="FF0000"/>
          <w:sz w:val="24"/>
        </w:rPr>
        <w:t>【注：受托人的服务报酬也可根据项目安排在本合同中约定，不另行签署收费文件并删除附件十二。】</w:t>
      </w:r>
    </w:p>
    <w:p w14:paraId="088D50D8">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如果“受托人”违反信托目的处分“信托财产”或者因违背管理职责、处理信托事务不当致使“信托财产”受到损失的，在未恢复“信托财产”的原状或者未予赔偿前，“受托人”不得请求给付上述报酬。</w:t>
      </w:r>
    </w:p>
    <w:p w14:paraId="30631369">
      <w:pPr>
        <w:numPr>
          <w:ilvl w:val="1"/>
          <w:numId w:val="4"/>
        </w:numPr>
        <w:tabs>
          <w:tab w:val="left" w:pos="992"/>
          <w:tab w:val="left" w:pos="1800"/>
          <w:tab w:val="left" w:pos="1980"/>
        </w:tabs>
        <w:spacing w:before="156" w:beforeLines="50" w:after="156" w:afterLines="50" w:line="360" w:lineRule="auto"/>
        <w:ind w:left="879" w:hanging="454"/>
        <w:rPr>
          <w:rFonts w:eastAsia="楷体_GB2312"/>
          <w:b/>
          <w:sz w:val="24"/>
        </w:rPr>
      </w:pPr>
      <w:r>
        <w:rPr>
          <w:rFonts w:eastAsia="楷体_GB2312"/>
          <w:b/>
          <w:sz w:val="24"/>
        </w:rPr>
        <w:t>贷款服务机构的报酬</w:t>
      </w:r>
    </w:p>
    <w:p w14:paraId="63EC6BAC">
      <w:pPr>
        <w:spacing w:before="156" w:beforeLines="50" w:after="156" w:afterLines="50" w:line="360" w:lineRule="auto"/>
        <w:ind w:left="992"/>
        <w:rPr>
          <w:rFonts w:eastAsia="楷体_GB2312"/>
          <w:sz w:val="24"/>
        </w:rPr>
      </w:pPr>
      <w:r>
        <w:rPr>
          <w:rFonts w:eastAsia="楷体_GB2312"/>
          <w:sz w:val="24"/>
        </w:rPr>
        <w:t>“贷款服务机构”根据本合同履行“贷款服务机构”职责的报酬应为“受托人”与“贷款服务机构”签署的“《服务合同》”、“收费文件”（如有）约定的金额，并按照本合同第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条约定的支付顺序予以支付。</w:t>
      </w:r>
    </w:p>
    <w:p w14:paraId="7FEB9F17">
      <w:pPr>
        <w:numPr>
          <w:ilvl w:val="1"/>
          <w:numId w:val="4"/>
        </w:numPr>
        <w:tabs>
          <w:tab w:val="left" w:pos="992"/>
          <w:tab w:val="left" w:pos="1800"/>
          <w:tab w:val="left" w:pos="1980"/>
        </w:tabs>
        <w:spacing w:before="156" w:beforeLines="50" w:after="156" w:afterLines="50" w:line="360" w:lineRule="auto"/>
        <w:ind w:left="879" w:hanging="454"/>
        <w:rPr>
          <w:rFonts w:eastAsia="楷体_GB2312"/>
          <w:b/>
          <w:sz w:val="24"/>
        </w:rPr>
      </w:pPr>
      <w:r>
        <w:rPr>
          <w:rFonts w:eastAsia="楷体_GB2312"/>
          <w:b/>
          <w:sz w:val="24"/>
        </w:rPr>
        <w:t>资金保管机构的报酬</w:t>
      </w:r>
    </w:p>
    <w:p w14:paraId="0D432DFE">
      <w:pPr>
        <w:spacing w:before="156" w:beforeLines="50" w:after="156" w:afterLines="50" w:line="360" w:lineRule="auto"/>
        <w:ind w:left="992"/>
        <w:rPr>
          <w:rFonts w:eastAsia="楷体_GB2312"/>
          <w:sz w:val="24"/>
        </w:rPr>
      </w:pPr>
      <w:r>
        <w:rPr>
          <w:rFonts w:eastAsia="楷体_GB2312"/>
          <w:sz w:val="24"/>
        </w:rPr>
        <w:t>“资金保管机构”根据本合同履行“资金保管机构”职责的报酬应为“受托人”与“资金保管机构”签署的“《资金保管合同》”、“收费文件”（如有）约定的金额，并按照本合同第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条约定的支付顺序予以支付。</w:t>
      </w:r>
    </w:p>
    <w:p w14:paraId="65482DD5">
      <w:pPr>
        <w:numPr>
          <w:ilvl w:val="1"/>
          <w:numId w:val="4"/>
        </w:numPr>
        <w:tabs>
          <w:tab w:val="left" w:pos="992"/>
          <w:tab w:val="left" w:pos="1800"/>
          <w:tab w:val="left" w:pos="1980"/>
        </w:tabs>
        <w:spacing w:before="156" w:beforeLines="50" w:after="156" w:afterLines="50" w:line="360" w:lineRule="auto"/>
        <w:ind w:left="879" w:hanging="454"/>
        <w:rPr>
          <w:rFonts w:eastAsia="楷体_GB2312"/>
          <w:b/>
          <w:sz w:val="24"/>
        </w:rPr>
      </w:pPr>
      <w:r>
        <w:rPr>
          <w:rFonts w:eastAsia="楷体_GB2312"/>
          <w:b/>
          <w:sz w:val="24"/>
        </w:rPr>
        <w:t>其他中介服务机构的报酬</w:t>
      </w:r>
    </w:p>
    <w:p w14:paraId="1D1325F0">
      <w:pPr>
        <w:spacing w:before="156" w:beforeLines="50" w:after="156" w:afterLines="50" w:line="360" w:lineRule="auto"/>
        <w:ind w:left="992"/>
        <w:rPr>
          <w:rFonts w:eastAsia="楷体_GB2312"/>
          <w:sz w:val="24"/>
        </w:rPr>
      </w:pPr>
      <w:r>
        <w:rPr>
          <w:rFonts w:eastAsia="楷体_GB2312"/>
          <w:sz w:val="24"/>
        </w:rPr>
        <w:t>其他中介服务机构根据本合同履行相应职责的报酬应为相关合同、“收费文件”</w:t>
      </w:r>
      <w:bookmarkStart w:id="498" w:name="_Hlk522895521"/>
      <w:r>
        <w:rPr>
          <w:rFonts w:eastAsia="楷体_GB2312"/>
          <w:sz w:val="24"/>
        </w:rPr>
        <w:t>（如有）</w:t>
      </w:r>
      <w:bookmarkEnd w:id="498"/>
      <w:r>
        <w:rPr>
          <w:rFonts w:eastAsia="楷体_GB2312"/>
          <w:sz w:val="24"/>
        </w:rPr>
        <w:t>中列示的金额，并按照本合同第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条约定的支付顺序予以支付。</w:t>
      </w:r>
    </w:p>
    <w:p w14:paraId="02A32EB3">
      <w:pPr>
        <w:numPr>
          <w:ilvl w:val="0"/>
          <w:numId w:val="4"/>
        </w:numPr>
        <w:spacing w:before="156" w:beforeLines="50" w:after="156" w:afterLines="50" w:line="360" w:lineRule="auto"/>
        <w:outlineLvl w:val="0"/>
        <w:rPr>
          <w:rFonts w:eastAsia="楷体_GB2312"/>
          <w:b/>
          <w:sz w:val="24"/>
        </w:rPr>
      </w:pPr>
      <w:bookmarkStart w:id="499" w:name="_Toc146349292"/>
      <w:bookmarkEnd w:id="499"/>
      <w:bookmarkStart w:id="500" w:name="_Toc107916195"/>
      <w:bookmarkEnd w:id="500"/>
      <w:bookmarkStart w:id="501" w:name="_Toc146349293"/>
      <w:bookmarkEnd w:id="501"/>
      <w:bookmarkStart w:id="502" w:name="_Toc107916196"/>
      <w:bookmarkEnd w:id="502"/>
      <w:bookmarkStart w:id="503" w:name="_Toc107916033"/>
      <w:bookmarkEnd w:id="503"/>
      <w:bookmarkStart w:id="504" w:name="_Toc107916032"/>
      <w:bookmarkEnd w:id="504"/>
      <w:bookmarkStart w:id="505" w:name="_Toc221382861"/>
      <w:bookmarkStart w:id="506" w:name="_Toc111281808"/>
      <w:bookmarkStart w:id="507" w:name="_Toc402883947"/>
      <w:bookmarkStart w:id="508" w:name="_Toc110153453"/>
      <w:r>
        <w:rPr>
          <w:rFonts w:eastAsia="楷体_GB2312"/>
          <w:b/>
          <w:sz w:val="24"/>
        </w:rPr>
        <w:t>税负</w:t>
      </w:r>
      <w:bookmarkStart w:id="509" w:name="_Toc92612942"/>
      <w:r>
        <w:rPr>
          <w:rFonts w:eastAsia="楷体_GB2312"/>
          <w:b/>
          <w:sz w:val="24"/>
        </w:rPr>
        <w:t>承担</w:t>
      </w:r>
      <w:bookmarkEnd w:id="505"/>
      <w:bookmarkEnd w:id="506"/>
      <w:bookmarkEnd w:id="507"/>
      <w:bookmarkEnd w:id="508"/>
    </w:p>
    <w:bookmarkEnd w:id="509"/>
    <w:p w14:paraId="49433995">
      <w:pPr>
        <w:spacing w:before="156" w:beforeLines="50" w:after="156" w:afterLines="50" w:line="360" w:lineRule="auto"/>
        <w:ind w:left="425"/>
        <w:rPr>
          <w:rFonts w:eastAsia="楷体_GB2312"/>
          <w:bCs/>
          <w:sz w:val="24"/>
        </w:rPr>
      </w:pPr>
      <w:r>
        <w:rPr>
          <w:rFonts w:eastAsia="楷体_GB2312"/>
          <w:bCs/>
          <w:sz w:val="24"/>
        </w:rPr>
        <w:t>双方同意在</w:t>
      </w:r>
      <w:r>
        <w:rPr>
          <w:rFonts w:eastAsia="楷体_GB2312"/>
          <w:sz w:val="24"/>
        </w:rPr>
        <w:t>“</w:t>
      </w:r>
      <w:r>
        <w:rPr>
          <w:rFonts w:eastAsia="楷体_GB2312"/>
          <w:bCs/>
          <w:sz w:val="24"/>
        </w:rPr>
        <w:t>信托</w:t>
      </w:r>
      <w:r>
        <w:rPr>
          <w:rFonts w:eastAsia="楷体_GB2312"/>
          <w:sz w:val="24"/>
        </w:rPr>
        <w:t>”</w:t>
      </w:r>
      <w:r>
        <w:rPr>
          <w:rFonts w:eastAsia="楷体_GB2312"/>
          <w:bCs/>
          <w:sz w:val="24"/>
        </w:rPr>
        <w:t>设立、</w:t>
      </w:r>
      <w:r>
        <w:rPr>
          <w:rFonts w:eastAsia="楷体_GB2312"/>
          <w:sz w:val="24"/>
        </w:rPr>
        <w:t>“</w:t>
      </w:r>
      <w:r>
        <w:rPr>
          <w:rFonts w:eastAsia="楷体_GB2312"/>
          <w:bCs/>
          <w:sz w:val="24"/>
        </w:rPr>
        <w:t>信托财产</w:t>
      </w:r>
      <w:r>
        <w:rPr>
          <w:rFonts w:eastAsia="楷体_GB2312"/>
          <w:sz w:val="24"/>
        </w:rPr>
        <w:t>”</w:t>
      </w:r>
      <w:r>
        <w:rPr>
          <w:rFonts w:eastAsia="楷体_GB2312"/>
          <w:bCs/>
          <w:sz w:val="24"/>
        </w:rPr>
        <w:t>的管理和运用、处分、</w:t>
      </w:r>
      <w:r>
        <w:rPr>
          <w:rFonts w:eastAsia="楷体_GB2312"/>
          <w:sz w:val="24"/>
        </w:rPr>
        <w:t>“</w:t>
      </w:r>
      <w:r>
        <w:rPr>
          <w:rFonts w:eastAsia="楷体_GB2312"/>
          <w:bCs/>
          <w:sz w:val="24"/>
        </w:rPr>
        <w:t>信托利益</w:t>
      </w:r>
      <w:r>
        <w:rPr>
          <w:rFonts w:eastAsia="楷体_GB2312"/>
          <w:sz w:val="24"/>
        </w:rPr>
        <w:t>”</w:t>
      </w:r>
      <w:r>
        <w:rPr>
          <w:rFonts w:eastAsia="楷体_GB2312"/>
          <w:bCs/>
          <w:sz w:val="24"/>
        </w:rPr>
        <w:t>的分配、“信托”终止清算等过程中发生的税负，由各方按照有关“中国”“法律”承担，应由</w:t>
      </w:r>
      <w:r>
        <w:rPr>
          <w:rFonts w:eastAsia="楷体_GB2312"/>
          <w:sz w:val="24"/>
        </w:rPr>
        <w:t>“</w:t>
      </w:r>
      <w:r>
        <w:rPr>
          <w:rFonts w:eastAsia="楷体_GB2312"/>
          <w:bCs/>
          <w:sz w:val="24"/>
        </w:rPr>
        <w:t>信托财产</w:t>
      </w:r>
      <w:r>
        <w:rPr>
          <w:rFonts w:eastAsia="楷体_GB2312"/>
          <w:sz w:val="24"/>
        </w:rPr>
        <w:t>”</w:t>
      </w:r>
      <w:r>
        <w:rPr>
          <w:rFonts w:eastAsia="楷体_GB2312"/>
          <w:bCs/>
          <w:sz w:val="24"/>
        </w:rPr>
        <w:t>承担的由</w:t>
      </w:r>
      <w:r>
        <w:rPr>
          <w:rFonts w:eastAsia="楷体_GB2312"/>
          <w:sz w:val="24"/>
        </w:rPr>
        <w:t>“</w:t>
      </w:r>
      <w:r>
        <w:rPr>
          <w:rFonts w:eastAsia="楷体_GB2312"/>
          <w:bCs/>
          <w:sz w:val="24"/>
        </w:rPr>
        <w:t>信托财产</w:t>
      </w:r>
      <w:r>
        <w:rPr>
          <w:rFonts w:eastAsia="楷体_GB2312"/>
          <w:sz w:val="24"/>
        </w:rPr>
        <w:t>”</w:t>
      </w:r>
      <w:r>
        <w:rPr>
          <w:rFonts w:eastAsia="楷体_GB2312"/>
          <w:bCs/>
          <w:sz w:val="24"/>
        </w:rPr>
        <w:t>承担。</w:t>
      </w:r>
      <w:bookmarkEnd w:id="493"/>
    </w:p>
    <w:p w14:paraId="3304D795">
      <w:pPr>
        <w:spacing w:before="156" w:beforeLines="50" w:after="156" w:afterLines="50" w:line="360" w:lineRule="auto"/>
        <w:ind w:left="425"/>
        <w:rPr>
          <w:rFonts w:eastAsia="楷体_GB2312"/>
          <w:b/>
          <w:i/>
          <w:iCs/>
          <w:color w:val="FF0000"/>
          <w:sz w:val="24"/>
        </w:rPr>
      </w:pPr>
      <w:r>
        <w:rPr>
          <w:rFonts w:eastAsia="楷体_GB2312"/>
          <w:b/>
          <w:i/>
          <w:iCs/>
          <w:color w:val="FF0000"/>
          <w:sz w:val="24"/>
        </w:rPr>
        <w:t>【注：关于税收条款按当时所适用的“中国”“法律”适用和执行，可结合项目实际情况就税收种类以及承担方式等予以具体化进一步在合同中进行明确。】</w:t>
      </w:r>
    </w:p>
    <w:p w14:paraId="5BCF406D">
      <w:pPr>
        <w:numPr>
          <w:ilvl w:val="0"/>
          <w:numId w:val="4"/>
        </w:numPr>
        <w:spacing w:before="156" w:beforeLines="50" w:after="156" w:afterLines="50" w:line="360" w:lineRule="auto"/>
        <w:outlineLvl w:val="0"/>
        <w:rPr>
          <w:rFonts w:eastAsia="楷体_GB2312"/>
          <w:b/>
          <w:sz w:val="24"/>
        </w:rPr>
      </w:pPr>
      <w:bookmarkStart w:id="510" w:name="_Toc110153454"/>
      <w:bookmarkStart w:id="511" w:name="_Ref173768296"/>
      <w:bookmarkStart w:id="512" w:name="_Toc221382862"/>
      <w:bookmarkStart w:id="513" w:name="_Toc111281809"/>
      <w:bookmarkStart w:id="514" w:name="_Toc402883948"/>
      <w:r>
        <w:rPr>
          <w:rFonts w:eastAsia="楷体_GB2312"/>
          <w:b/>
          <w:sz w:val="24"/>
        </w:rPr>
        <w:t>资产支持证券持有人大会</w:t>
      </w:r>
      <w:bookmarkEnd w:id="510"/>
      <w:r>
        <w:rPr>
          <w:rFonts w:eastAsia="楷体_GB2312"/>
          <w:b/>
          <w:sz w:val="24"/>
        </w:rPr>
        <w:t>组成与权利</w:t>
      </w:r>
      <w:bookmarkEnd w:id="511"/>
      <w:bookmarkEnd w:id="512"/>
      <w:bookmarkEnd w:id="513"/>
      <w:bookmarkEnd w:id="514"/>
    </w:p>
    <w:p w14:paraId="38E77282">
      <w:pPr>
        <w:spacing w:before="156" w:beforeLines="50" w:after="156" w:afterLines="50" w:line="360" w:lineRule="auto"/>
        <w:ind w:left="425"/>
        <w:rPr>
          <w:rFonts w:eastAsia="楷体_GB2312"/>
          <w:b/>
          <w:i/>
          <w:iCs/>
          <w:color w:val="FF0000"/>
          <w:sz w:val="24"/>
        </w:rPr>
      </w:pPr>
      <w:r>
        <w:rPr>
          <w:rFonts w:eastAsia="楷体_GB2312"/>
          <w:b/>
          <w:i/>
          <w:iCs/>
          <w:color w:val="FF0000"/>
          <w:sz w:val="24"/>
        </w:rPr>
        <w:t>【注：本款“资产支持证券持有人大会”仅供参考，就召集事由、表决比例等安排可根据项目实际情况进行调整，但应符合法律规定和监管要求。】</w:t>
      </w:r>
    </w:p>
    <w:p w14:paraId="2220C80F">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sz w:val="24"/>
        </w:rPr>
      </w:pPr>
      <w:bookmarkStart w:id="515" w:name="_Toc111281810"/>
      <w:r>
        <w:rPr>
          <w:rFonts w:eastAsia="楷体_GB2312"/>
          <w:b/>
          <w:sz w:val="24"/>
        </w:rPr>
        <w:t>组成</w:t>
      </w:r>
      <w:bookmarkEnd w:id="515"/>
    </w:p>
    <w:p w14:paraId="5EA7B154">
      <w:pPr>
        <w:autoSpaceDE w:val="0"/>
        <w:autoSpaceDN w:val="0"/>
        <w:adjustRightInd w:val="0"/>
        <w:spacing w:before="156" w:beforeLines="50" w:after="156" w:afterLines="50" w:line="360" w:lineRule="auto"/>
        <w:ind w:left="992"/>
        <w:rPr>
          <w:rFonts w:eastAsia="楷体_GB2312"/>
          <w:kern w:val="0"/>
          <w:sz w:val="24"/>
        </w:rPr>
      </w:pPr>
      <w:r>
        <w:rPr>
          <w:rFonts w:eastAsia="楷体_GB2312"/>
          <w:kern w:val="0"/>
          <w:sz w:val="24"/>
        </w:rPr>
        <w:t>各类别</w:t>
      </w:r>
      <w:r>
        <w:rPr>
          <w:rFonts w:eastAsia="楷体_GB2312"/>
          <w:sz w:val="24"/>
        </w:rPr>
        <w:t>“</w:t>
      </w:r>
      <w:r>
        <w:rPr>
          <w:rFonts w:eastAsia="楷体_GB2312"/>
          <w:kern w:val="0"/>
          <w:sz w:val="24"/>
        </w:rPr>
        <w:t>资产支持证券的持有人</w:t>
      </w:r>
      <w:r>
        <w:rPr>
          <w:rFonts w:eastAsia="楷体_GB2312"/>
          <w:sz w:val="24"/>
        </w:rPr>
        <w:t>”</w:t>
      </w:r>
      <w:r>
        <w:rPr>
          <w:rFonts w:eastAsia="楷体_GB2312"/>
          <w:kern w:val="0"/>
          <w:sz w:val="24"/>
        </w:rPr>
        <w:t>分别组成该类别</w:t>
      </w:r>
      <w:r>
        <w:rPr>
          <w:rFonts w:eastAsia="楷体_GB2312"/>
          <w:sz w:val="24"/>
        </w:rPr>
        <w:t>“</w:t>
      </w:r>
      <w:r>
        <w:rPr>
          <w:rFonts w:eastAsia="楷体_GB2312"/>
          <w:kern w:val="0"/>
          <w:sz w:val="24"/>
        </w:rPr>
        <w:t>资产支持证券持有人大会</w:t>
      </w:r>
      <w:r>
        <w:rPr>
          <w:rFonts w:eastAsia="楷体_GB2312"/>
          <w:sz w:val="24"/>
        </w:rPr>
        <w:t>”</w:t>
      </w:r>
      <w:r>
        <w:rPr>
          <w:rFonts w:eastAsia="楷体_GB2312"/>
          <w:kern w:val="0"/>
          <w:sz w:val="24"/>
        </w:rPr>
        <w:t>。通过购买</w:t>
      </w:r>
      <w:r>
        <w:rPr>
          <w:rFonts w:eastAsia="楷体_GB2312"/>
          <w:sz w:val="24"/>
        </w:rPr>
        <w:t>“</w:t>
      </w:r>
      <w:r>
        <w:rPr>
          <w:rFonts w:eastAsia="楷体_GB2312"/>
          <w:kern w:val="0"/>
          <w:sz w:val="24"/>
        </w:rPr>
        <w:t>发行人</w:t>
      </w:r>
      <w:r>
        <w:rPr>
          <w:rFonts w:eastAsia="楷体_GB2312"/>
          <w:sz w:val="24"/>
        </w:rPr>
        <w:t>”</w:t>
      </w:r>
      <w:r>
        <w:rPr>
          <w:rFonts w:eastAsia="楷体_GB2312"/>
          <w:kern w:val="0"/>
          <w:sz w:val="24"/>
        </w:rPr>
        <w:t>所发行的相关类别</w:t>
      </w:r>
      <w:r>
        <w:rPr>
          <w:rFonts w:eastAsia="楷体_GB2312"/>
          <w:sz w:val="24"/>
        </w:rPr>
        <w:t>“</w:t>
      </w:r>
      <w:r>
        <w:rPr>
          <w:rFonts w:eastAsia="楷体_GB2312"/>
          <w:kern w:val="0"/>
          <w:sz w:val="24"/>
        </w:rPr>
        <w:t>资产支持证券</w:t>
      </w:r>
      <w:r>
        <w:rPr>
          <w:rFonts w:eastAsia="楷体_GB2312"/>
          <w:sz w:val="24"/>
        </w:rPr>
        <w:t>”</w:t>
      </w:r>
      <w:r>
        <w:rPr>
          <w:rFonts w:eastAsia="楷体_GB2312"/>
          <w:kern w:val="0"/>
          <w:sz w:val="24"/>
        </w:rPr>
        <w:t>或在银行间债券市场通过交易购得相关类别的</w:t>
      </w:r>
      <w:r>
        <w:rPr>
          <w:rFonts w:eastAsia="楷体_GB2312"/>
          <w:sz w:val="24"/>
        </w:rPr>
        <w:t>“</w:t>
      </w:r>
      <w:r>
        <w:rPr>
          <w:rFonts w:eastAsia="楷体_GB2312"/>
          <w:kern w:val="0"/>
          <w:sz w:val="24"/>
        </w:rPr>
        <w:t>资产支持证券</w:t>
      </w:r>
      <w:r>
        <w:rPr>
          <w:rFonts w:eastAsia="楷体_GB2312"/>
          <w:sz w:val="24"/>
        </w:rPr>
        <w:t>”</w:t>
      </w:r>
      <w:r>
        <w:rPr>
          <w:rFonts w:eastAsia="楷体_GB2312"/>
          <w:kern w:val="0"/>
          <w:sz w:val="24"/>
        </w:rPr>
        <w:t>的</w:t>
      </w:r>
      <w:r>
        <w:rPr>
          <w:rFonts w:eastAsia="楷体_GB2312"/>
          <w:sz w:val="24"/>
        </w:rPr>
        <w:t>“</w:t>
      </w:r>
      <w:r>
        <w:rPr>
          <w:rFonts w:eastAsia="楷体_GB2312"/>
          <w:kern w:val="0"/>
          <w:sz w:val="24"/>
        </w:rPr>
        <w:t>资产支持证券持有人</w:t>
      </w:r>
      <w:r>
        <w:rPr>
          <w:rFonts w:eastAsia="楷体_GB2312"/>
          <w:sz w:val="24"/>
        </w:rPr>
        <w:t>”</w:t>
      </w:r>
      <w:r>
        <w:rPr>
          <w:rFonts w:eastAsia="楷体_GB2312"/>
          <w:kern w:val="0"/>
          <w:sz w:val="24"/>
        </w:rPr>
        <w:t>，自动成为该类别</w:t>
      </w:r>
      <w:r>
        <w:rPr>
          <w:rFonts w:eastAsia="楷体_GB2312"/>
          <w:sz w:val="24"/>
        </w:rPr>
        <w:t>“</w:t>
      </w:r>
      <w:r>
        <w:rPr>
          <w:rFonts w:eastAsia="楷体_GB2312"/>
          <w:kern w:val="0"/>
          <w:sz w:val="24"/>
        </w:rPr>
        <w:t>资产支持证券持有人大会</w:t>
      </w:r>
      <w:r>
        <w:rPr>
          <w:rFonts w:eastAsia="楷体_GB2312"/>
          <w:sz w:val="24"/>
        </w:rPr>
        <w:t>”</w:t>
      </w:r>
      <w:r>
        <w:rPr>
          <w:rFonts w:eastAsia="楷体_GB2312"/>
          <w:kern w:val="0"/>
          <w:sz w:val="24"/>
        </w:rPr>
        <w:t>的成员。具体而言，“优先A级资产支持证券持有人”组成优先A级“资产支持证券持有人大会”，“优先B级资产支持证券持有人”组成优先B级“资产支持证券持有人大会”，“次级资产支持证券持有人”组成次级“资产支持证券持有人大会”。</w:t>
      </w:r>
    </w:p>
    <w:p w14:paraId="624AC119">
      <w:pPr>
        <w:autoSpaceDE w:val="0"/>
        <w:autoSpaceDN w:val="0"/>
        <w:adjustRightInd w:val="0"/>
        <w:spacing w:before="156" w:beforeLines="50" w:after="156" w:afterLines="50" w:line="360" w:lineRule="auto"/>
        <w:ind w:left="992"/>
        <w:rPr>
          <w:rFonts w:eastAsia="楷体_GB2312"/>
          <w:b/>
          <w:i/>
          <w:color w:val="FF0000"/>
          <w:kern w:val="0"/>
          <w:sz w:val="24"/>
        </w:rPr>
      </w:pPr>
      <w:r>
        <w:rPr>
          <w:rFonts w:eastAsia="楷体_GB2312"/>
          <w:b/>
          <w:i/>
          <w:color w:val="FF0000"/>
          <w:kern w:val="0"/>
          <w:sz w:val="24"/>
        </w:rPr>
        <w:t>【注：此处可根据证券分层结果细分。】</w:t>
      </w:r>
    </w:p>
    <w:p w14:paraId="68DED743">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kern w:val="0"/>
          <w:sz w:val="24"/>
        </w:rPr>
      </w:pPr>
      <w:bookmarkStart w:id="516" w:name="_Toc152168748"/>
      <w:bookmarkStart w:id="517" w:name="_Toc152168192"/>
      <w:bookmarkStart w:id="518" w:name="_Toc172736602"/>
      <w:bookmarkStart w:id="519" w:name="_Toc151554358"/>
      <w:bookmarkStart w:id="520" w:name="_Toc111281811"/>
      <w:r>
        <w:rPr>
          <w:rFonts w:eastAsia="楷体_GB2312"/>
          <w:b/>
          <w:kern w:val="0"/>
          <w:sz w:val="24"/>
        </w:rPr>
        <w:t>会议</w:t>
      </w:r>
      <w:r>
        <w:rPr>
          <w:rFonts w:eastAsia="楷体_GB2312"/>
          <w:b/>
          <w:sz w:val="24"/>
        </w:rPr>
        <w:t>召集</w:t>
      </w:r>
      <w:bookmarkEnd w:id="516"/>
      <w:bookmarkEnd w:id="517"/>
      <w:bookmarkEnd w:id="518"/>
      <w:bookmarkEnd w:id="519"/>
    </w:p>
    <w:p w14:paraId="47F516DB">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“资产支持证券持有人大会”为不定期会议。</w:t>
      </w:r>
    </w:p>
    <w:p w14:paraId="207AB085">
      <w:pPr>
        <w:numPr>
          <w:ilvl w:val="2"/>
          <w:numId w:val="4"/>
        </w:numPr>
        <w:tabs>
          <w:tab w:val="left" w:pos="1843"/>
        </w:tabs>
        <w:spacing w:before="156" w:beforeLines="50" w:after="156" w:afterLines="50" w:line="360" w:lineRule="auto"/>
        <w:ind w:left="1843" w:hanging="851"/>
        <w:rPr>
          <w:rFonts w:eastAsia="楷体_GB2312"/>
          <w:sz w:val="24"/>
        </w:rPr>
      </w:pPr>
      <w:bookmarkStart w:id="521" w:name="_Ref520884943"/>
      <w:r>
        <w:rPr>
          <w:rFonts w:eastAsia="楷体_GB2312"/>
          <w:sz w:val="24"/>
        </w:rPr>
        <w:t>“资产支持证券持有人大会”由“受托人”召集。发生下列事由之一的，“受托人”应召集“资产支持证券持有人大会”：</w:t>
      </w:r>
      <w:bookmarkEnd w:id="521"/>
    </w:p>
    <w:p w14:paraId="1DD29371">
      <w:pPr>
        <w:numPr>
          <w:ilvl w:val="0"/>
          <w:numId w:val="30"/>
        </w:numPr>
        <w:spacing w:before="156" w:beforeLines="50" w:after="156" w:afterLines="50" w:line="360" w:lineRule="auto"/>
        <w:ind w:left="2268"/>
        <w:rPr>
          <w:rFonts w:eastAsia="楷体_GB2312"/>
          <w:sz w:val="24"/>
        </w:rPr>
      </w:pPr>
      <w:bookmarkStart w:id="522" w:name="_Ref520884947"/>
      <w:r>
        <w:rPr>
          <w:rFonts w:eastAsia="楷体_GB2312"/>
          <w:sz w:val="24"/>
        </w:rPr>
        <w:t>提前终止“信托”；</w:t>
      </w:r>
      <w:bookmarkEnd w:id="522"/>
    </w:p>
    <w:p w14:paraId="326F2793">
      <w:pPr>
        <w:numPr>
          <w:ilvl w:val="0"/>
          <w:numId w:val="30"/>
        </w:numPr>
        <w:spacing w:before="156" w:beforeLines="50" w:after="156" w:afterLines="50" w:line="360" w:lineRule="auto"/>
        <w:ind w:left="2268"/>
        <w:rPr>
          <w:rFonts w:eastAsia="楷体_GB2312"/>
          <w:sz w:val="24"/>
        </w:rPr>
      </w:pPr>
      <w:bookmarkStart w:id="523" w:name="_Ref523145349"/>
      <w:r>
        <w:rPr>
          <w:rFonts w:eastAsia="楷体_GB2312"/>
          <w:sz w:val="24"/>
        </w:rPr>
        <w:t>批准涉及修改“资产支持证券持有人”权利或“资产支持证券”基本特征的提案，而无论该“资产支持证券持有人”的权利或“资产支持证券”特征是否基于“交易文件”或其他文件，具体包括但不限于：改变本合同第</w:t>
      </w:r>
      <w:r>
        <w:rPr>
          <w:rFonts w:eastAsia="楷体_GB2312"/>
          <w:sz w:val="24"/>
        </w:rPr>
        <w:fldChar w:fldCharType="begin"/>
      </w:r>
      <w:r>
        <w:rPr>
          <w:rFonts w:eastAsia="楷体_GB2312"/>
          <w:sz w:val="24"/>
        </w:rPr>
        <w:instrText xml:space="preserve"> REF _Ref221528828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约定的“回收款”分配顺序、减少或取消“资产支持证券”的本金金额或利率（但就票面利率为浮动利率的“资产支持证券”而言，如因“人民银行”实施新利率政策导致“基准利率”根据“《主定义表》”中“基准利率”的定义调整时，因此导致的“资产支持证券”利率的变化无须经“资产支持证券持有人大会”审议）、改变对“资产支持证券”的支付币种、修改对某一项“全体同意事项”或“特别决议事项”获得通过所需的票数等；</w:t>
      </w:r>
      <w:bookmarkEnd w:id="523"/>
    </w:p>
    <w:p w14:paraId="6D4DFDDA">
      <w:pPr>
        <w:numPr>
          <w:ilvl w:val="0"/>
          <w:numId w:val="30"/>
        </w:numPr>
        <w:spacing w:before="156" w:beforeLines="50" w:after="156" w:afterLines="50" w:line="360" w:lineRule="auto"/>
        <w:ind w:left="2268"/>
        <w:rPr>
          <w:rFonts w:eastAsia="楷体_GB2312"/>
          <w:sz w:val="24"/>
        </w:rPr>
      </w:pPr>
      <w:bookmarkStart w:id="524" w:name="_Ref520885588"/>
      <w:r>
        <w:rPr>
          <w:rFonts w:eastAsia="楷体_GB2312"/>
          <w:sz w:val="24"/>
        </w:rPr>
        <w:t>发生任何“加速清偿事件”中的【】项至【】项所列的任何一起需经宣布生效的“加速清偿事件”后，决定是否宣布加速清偿事件已发生；发生“违约事件”中的【】项的任何事件，决定是否宣布“违约事件”已发生；</w:t>
      </w:r>
      <w:bookmarkEnd w:id="524"/>
    </w:p>
    <w:p w14:paraId="64109106">
      <w:pPr>
        <w:spacing w:before="156" w:beforeLines="50" w:after="156" w:afterLines="50" w:line="360" w:lineRule="auto"/>
        <w:ind w:left="1842" w:leftChars="877"/>
        <w:rPr>
          <w:rFonts w:eastAsia="楷体_GB2312"/>
          <w:color w:val="FF0000"/>
          <w:sz w:val="24"/>
        </w:rPr>
      </w:pPr>
      <w:r>
        <w:rPr>
          <w:rFonts w:eastAsia="楷体_GB2312"/>
          <w:b/>
          <w:i/>
          <w:color w:val="FF0000"/>
          <w:sz w:val="24"/>
        </w:rPr>
        <w:t>【注：宣布加速清偿事件和违约事件的发生，</w:t>
      </w:r>
      <w:r>
        <w:rPr>
          <w:rFonts w:eastAsia="楷体_GB2312"/>
          <w:b/>
          <w:i/>
          <w:color w:val="FF0000"/>
          <w:kern w:val="0"/>
          <w:sz w:val="24"/>
        </w:rPr>
        <w:t>可根据项目安排进行调整</w:t>
      </w:r>
      <w:r>
        <w:rPr>
          <w:rFonts w:eastAsia="楷体_GB2312"/>
          <w:b/>
          <w:i/>
          <w:color w:val="FF0000"/>
          <w:sz w:val="24"/>
        </w:rPr>
        <w:t>。】</w:t>
      </w:r>
    </w:p>
    <w:p w14:paraId="6A9884B2">
      <w:pPr>
        <w:numPr>
          <w:ilvl w:val="0"/>
          <w:numId w:val="30"/>
        </w:numPr>
        <w:spacing w:before="156" w:beforeLines="50" w:after="156" w:afterLines="50" w:line="360" w:lineRule="auto"/>
        <w:ind w:left="2268"/>
        <w:rPr>
          <w:rFonts w:eastAsia="楷体_GB2312"/>
          <w:sz w:val="24"/>
        </w:rPr>
      </w:pPr>
      <w:r>
        <w:rPr>
          <w:rFonts w:eastAsia="楷体_GB2312"/>
          <w:sz w:val="24"/>
        </w:rPr>
        <w:t>“违约事件”发生后，根据“交易文件”的约定决定是否以出售、转让等方式处置全部或部分“信托财产”（根据本合同第</w:t>
      </w:r>
      <w:r>
        <w:rPr>
          <w:rFonts w:eastAsia="楷体_GB2312"/>
          <w:sz w:val="24"/>
        </w:rPr>
        <w:fldChar w:fldCharType="begin"/>
      </w:r>
      <w:r>
        <w:rPr>
          <w:rFonts w:eastAsia="楷体_GB2312"/>
          <w:sz w:val="24"/>
        </w:rPr>
        <w:instrText xml:space="preserve"> REF _Ref432773715 \r \h  \* MERGEFORMAT </w:instrText>
      </w:r>
      <w:r>
        <w:rPr>
          <w:rFonts w:eastAsia="楷体_GB2312"/>
          <w:sz w:val="24"/>
        </w:rPr>
        <w:fldChar w:fldCharType="separate"/>
      </w:r>
      <w:r>
        <w:rPr>
          <w:rFonts w:eastAsia="楷体_GB2312"/>
          <w:sz w:val="24"/>
        </w:rPr>
        <w:t>12</w:t>
      </w:r>
      <w:r>
        <w:rPr>
          <w:rFonts w:eastAsia="楷体_GB2312"/>
          <w:sz w:val="24"/>
        </w:rPr>
        <w:fldChar w:fldCharType="end"/>
      </w:r>
      <w:r>
        <w:rPr>
          <w:rFonts w:eastAsia="楷体_GB2312"/>
          <w:sz w:val="24"/>
        </w:rPr>
        <w:t>条和第</w:t>
      </w:r>
      <w:r>
        <w:rPr>
          <w:rFonts w:eastAsia="楷体_GB2312"/>
          <w:sz w:val="24"/>
        </w:rPr>
        <w:fldChar w:fldCharType="begin"/>
      </w:r>
      <w:r>
        <w:rPr>
          <w:rFonts w:eastAsia="楷体_GB2312"/>
          <w:sz w:val="24"/>
        </w:rPr>
        <w:instrText xml:space="preserve"> REF _Ref63070203 \r \h  \* MERGEFORMAT </w:instrText>
      </w:r>
      <w:r>
        <w:rPr>
          <w:rFonts w:eastAsia="楷体_GB2312"/>
          <w:sz w:val="24"/>
        </w:rPr>
        <w:fldChar w:fldCharType="separate"/>
      </w:r>
      <w:r>
        <w:rPr>
          <w:rFonts w:eastAsia="楷体_GB2312"/>
          <w:sz w:val="24"/>
        </w:rPr>
        <w:t>14</w:t>
      </w:r>
      <w:r>
        <w:rPr>
          <w:rFonts w:eastAsia="楷体_GB2312"/>
          <w:sz w:val="24"/>
        </w:rPr>
        <w:fldChar w:fldCharType="end"/>
      </w:r>
      <w:r>
        <w:rPr>
          <w:rFonts w:eastAsia="楷体_GB2312"/>
          <w:sz w:val="24"/>
        </w:rPr>
        <w:t>条要求“委托人”赎回“不合格信贷资产”或接受“委托人”“清仓回购”以及根据本合同第</w:t>
      </w:r>
      <w:r>
        <w:rPr>
          <w:rFonts w:eastAsia="楷体_GB2312"/>
          <w:sz w:val="24"/>
        </w:rPr>
        <w:fldChar w:fldCharType="begin"/>
      </w:r>
      <w:r>
        <w:rPr>
          <w:rFonts w:eastAsia="楷体_GB2312"/>
          <w:sz w:val="24"/>
        </w:rPr>
        <w:instrText xml:space="preserve"> REF _Ref519153575 \r \h  \* MERGEFORMAT </w:instrText>
      </w:r>
      <w:r>
        <w:rPr>
          <w:rFonts w:eastAsia="楷体_GB2312"/>
          <w:sz w:val="24"/>
        </w:rPr>
        <w:fldChar w:fldCharType="separate"/>
      </w:r>
      <w:r>
        <w:rPr>
          <w:rFonts w:eastAsia="楷体_GB2312"/>
          <w:sz w:val="24"/>
        </w:rPr>
        <w:t>23</w:t>
      </w:r>
      <w:r>
        <w:rPr>
          <w:rFonts w:eastAsia="楷体_GB2312"/>
          <w:sz w:val="24"/>
        </w:rPr>
        <w:fldChar w:fldCharType="end"/>
      </w:r>
      <w:r>
        <w:rPr>
          <w:rFonts w:eastAsia="楷体_GB2312"/>
          <w:sz w:val="24"/>
        </w:rPr>
        <w:t>条清算“信托财产”的除外），决定是否宣布“资产支持证券”立即到期并应支付本息；</w:t>
      </w:r>
    </w:p>
    <w:p w14:paraId="7827819E">
      <w:pPr>
        <w:numPr>
          <w:ilvl w:val="0"/>
          <w:numId w:val="30"/>
        </w:numPr>
        <w:spacing w:before="156" w:beforeLines="50" w:after="156" w:afterLines="50" w:line="360" w:lineRule="auto"/>
        <w:ind w:left="2268"/>
        <w:rPr>
          <w:rFonts w:eastAsia="楷体_GB2312"/>
          <w:sz w:val="24"/>
        </w:rPr>
      </w:pPr>
      <w:r>
        <w:rPr>
          <w:rFonts w:eastAsia="楷体_GB2312"/>
          <w:sz w:val="24"/>
        </w:rPr>
        <w:t>改变本类别“资产支持证券”的“法定到期日”；</w:t>
      </w:r>
    </w:p>
    <w:p w14:paraId="1EA48C40">
      <w:pPr>
        <w:numPr>
          <w:ilvl w:val="0"/>
          <w:numId w:val="30"/>
        </w:numPr>
        <w:spacing w:before="156" w:beforeLines="50" w:after="156" w:afterLines="50" w:line="360" w:lineRule="auto"/>
        <w:ind w:left="2268"/>
        <w:rPr>
          <w:rFonts w:eastAsia="楷体_GB2312"/>
          <w:sz w:val="24"/>
        </w:rPr>
      </w:pPr>
      <w:r>
        <w:rPr>
          <w:rFonts w:eastAsia="楷体_GB2312"/>
          <w:sz w:val="24"/>
        </w:rPr>
        <w:t>减少或取消本类别“资产支持证券”的本金金额或利率；</w:t>
      </w:r>
    </w:p>
    <w:p w14:paraId="29A544D9">
      <w:pPr>
        <w:numPr>
          <w:ilvl w:val="0"/>
          <w:numId w:val="30"/>
        </w:numPr>
        <w:spacing w:before="156" w:beforeLines="50" w:after="156" w:afterLines="50" w:line="360" w:lineRule="auto"/>
        <w:ind w:left="2268"/>
        <w:rPr>
          <w:rFonts w:eastAsia="楷体_GB2312"/>
          <w:sz w:val="24"/>
        </w:rPr>
      </w:pPr>
      <w:r>
        <w:rPr>
          <w:rFonts w:eastAsia="楷体_GB2312"/>
          <w:sz w:val="24"/>
        </w:rPr>
        <w:t>改变对本类别“资产支持证券”的支付币种；</w:t>
      </w:r>
    </w:p>
    <w:p w14:paraId="444F0B41">
      <w:pPr>
        <w:numPr>
          <w:ilvl w:val="0"/>
          <w:numId w:val="30"/>
        </w:numPr>
        <w:spacing w:before="156" w:beforeLines="50" w:after="156" w:afterLines="50" w:line="360" w:lineRule="auto"/>
        <w:ind w:left="2268"/>
        <w:rPr>
          <w:rFonts w:eastAsia="楷体_GB2312"/>
          <w:sz w:val="24"/>
        </w:rPr>
      </w:pPr>
      <w:r>
        <w:rPr>
          <w:rFonts w:eastAsia="楷体_GB2312"/>
          <w:sz w:val="24"/>
        </w:rPr>
        <w:t>批准涉及修改本类别“资产支持证券持有人”权利的提案；</w:t>
      </w:r>
    </w:p>
    <w:p w14:paraId="276F8EF6">
      <w:pPr>
        <w:numPr>
          <w:ilvl w:val="0"/>
          <w:numId w:val="30"/>
        </w:numPr>
        <w:spacing w:before="156" w:beforeLines="50" w:after="156" w:afterLines="50" w:line="360" w:lineRule="auto"/>
        <w:ind w:left="2268"/>
        <w:rPr>
          <w:rFonts w:eastAsia="楷体_GB2312"/>
          <w:sz w:val="24"/>
        </w:rPr>
      </w:pPr>
      <w:r>
        <w:rPr>
          <w:rFonts w:eastAsia="楷体_GB2312"/>
          <w:sz w:val="24"/>
        </w:rPr>
        <w:t>批准“受托人”或其他方提议的对“交易文件”任何条款的重大修改、更正或补充；</w:t>
      </w:r>
    </w:p>
    <w:p w14:paraId="7DCC3EBE">
      <w:pPr>
        <w:numPr>
          <w:ilvl w:val="0"/>
          <w:numId w:val="30"/>
        </w:numPr>
        <w:spacing w:before="156" w:beforeLines="50" w:after="156" w:afterLines="50" w:line="360" w:lineRule="auto"/>
        <w:ind w:left="2268"/>
        <w:rPr>
          <w:rFonts w:eastAsia="楷体_GB2312"/>
          <w:sz w:val="24"/>
        </w:rPr>
      </w:pPr>
      <w:r>
        <w:rPr>
          <w:rFonts w:eastAsia="楷体_GB2312"/>
          <w:sz w:val="24"/>
        </w:rPr>
        <w:t>授权“受托人”签署全部必要文件并做出全部必要行动或事项，以便执行“资产支持证券持有人大会”就“特别决议事项”所形成的决议；</w:t>
      </w:r>
    </w:p>
    <w:p w14:paraId="1F8FF4E3">
      <w:pPr>
        <w:numPr>
          <w:ilvl w:val="0"/>
          <w:numId w:val="30"/>
        </w:numPr>
        <w:spacing w:before="156" w:beforeLines="50" w:after="156" w:afterLines="50" w:line="360" w:lineRule="auto"/>
        <w:ind w:left="2268"/>
        <w:rPr>
          <w:rFonts w:eastAsia="楷体_GB2312"/>
          <w:sz w:val="24"/>
        </w:rPr>
      </w:pPr>
      <w:r>
        <w:rPr>
          <w:rFonts w:eastAsia="楷体_GB2312"/>
          <w:sz w:val="24"/>
        </w:rPr>
        <w:t>选任代表（无论其是否为“资产支持证券持有人”），授权该代表执行“资产支持证券持有人大会”就“特别决议事项”所形成的决议；</w:t>
      </w:r>
    </w:p>
    <w:p w14:paraId="70B277A9">
      <w:pPr>
        <w:numPr>
          <w:ilvl w:val="0"/>
          <w:numId w:val="30"/>
        </w:numPr>
        <w:spacing w:before="156" w:beforeLines="50" w:after="156" w:afterLines="50" w:line="360" w:lineRule="auto"/>
        <w:ind w:left="2268"/>
        <w:rPr>
          <w:rFonts w:eastAsia="楷体_GB2312"/>
          <w:sz w:val="24"/>
        </w:rPr>
      </w:pPr>
      <w:r>
        <w:rPr>
          <w:rFonts w:eastAsia="楷体_GB2312"/>
          <w:sz w:val="24"/>
        </w:rPr>
        <w:t>解除或免除“受托人”根据任何“交易文件”本应承担的任何责任和义务；</w:t>
      </w:r>
    </w:p>
    <w:p w14:paraId="09A58E60">
      <w:pPr>
        <w:numPr>
          <w:ilvl w:val="0"/>
          <w:numId w:val="30"/>
        </w:numPr>
        <w:spacing w:before="156" w:beforeLines="50" w:after="156" w:afterLines="50" w:line="360" w:lineRule="auto"/>
        <w:ind w:left="2268"/>
        <w:rPr>
          <w:rFonts w:eastAsia="楷体_GB2312"/>
          <w:sz w:val="24"/>
        </w:rPr>
      </w:pPr>
      <w:bookmarkStart w:id="525" w:name="_Ref520885593"/>
      <w:r>
        <w:rPr>
          <w:rFonts w:eastAsia="楷体_GB2312"/>
          <w:sz w:val="24"/>
        </w:rPr>
        <w:t>批准“信托”清算时“信托财产”的清算方案和清算报告，但由于“资产池”处置回收完毕（含“清仓回购”）导致“信托”终止的除外；</w:t>
      </w:r>
      <w:bookmarkEnd w:id="525"/>
    </w:p>
    <w:p w14:paraId="2F53B5A5">
      <w:pPr>
        <w:numPr>
          <w:ilvl w:val="0"/>
          <w:numId w:val="30"/>
        </w:numPr>
        <w:spacing w:before="156" w:beforeLines="50" w:after="156" w:afterLines="50" w:line="360" w:lineRule="auto"/>
        <w:ind w:left="2268"/>
        <w:rPr>
          <w:rFonts w:eastAsia="楷体_GB2312"/>
          <w:sz w:val="24"/>
        </w:rPr>
      </w:pPr>
      <w:r>
        <w:rPr>
          <w:rFonts w:eastAsia="楷体_GB2312"/>
          <w:sz w:val="24"/>
        </w:rPr>
        <w:t>“受托人”提出辞任、发生“受托人解任事件”、“贷款服务机构解任事件”或“资金保管机构解任事件”，须根据“交易文件”更换“受托人”、“贷款服务机构”或“资金保管机构”；</w:t>
      </w:r>
    </w:p>
    <w:p w14:paraId="396C3A55">
      <w:pPr>
        <w:numPr>
          <w:ilvl w:val="0"/>
          <w:numId w:val="30"/>
        </w:numPr>
        <w:spacing w:before="156" w:beforeLines="50" w:after="156" w:afterLines="50" w:line="360" w:lineRule="auto"/>
        <w:ind w:left="2268"/>
        <w:rPr>
          <w:rFonts w:eastAsia="楷体_GB2312"/>
          <w:sz w:val="24"/>
        </w:rPr>
      </w:pPr>
      <w:r>
        <w:rPr>
          <w:rFonts w:eastAsia="楷体_GB2312"/>
          <w:sz w:val="24"/>
        </w:rPr>
        <w:t>决定本“信托”项下“后备贷款服务机构”委任事宜；</w:t>
      </w:r>
    </w:p>
    <w:p w14:paraId="08069BFC">
      <w:pPr>
        <w:numPr>
          <w:ilvl w:val="0"/>
          <w:numId w:val="30"/>
        </w:numPr>
        <w:spacing w:before="156" w:beforeLines="50" w:after="156" w:afterLines="50" w:line="360" w:lineRule="auto"/>
        <w:ind w:left="2268"/>
        <w:rPr>
          <w:rFonts w:eastAsia="楷体_GB2312"/>
          <w:sz w:val="24"/>
        </w:rPr>
      </w:pPr>
      <w:r>
        <w:rPr>
          <w:rFonts w:eastAsia="楷体_GB2312"/>
          <w:sz w:val="24"/>
        </w:rPr>
        <w:t>“《信托合同》”或其他“交易文件”的终止或重大修改、更正、补充且“受托人”合理地认为该等终止或重大修改、更正、补充可能实质性损害“资产支持证券持有人”的权利，但该等终止或重大修改、更正、补充是根据“中国”“法律”的强制性要求而做出的除外；</w:t>
      </w:r>
    </w:p>
    <w:p w14:paraId="009AC281">
      <w:pPr>
        <w:numPr>
          <w:ilvl w:val="0"/>
          <w:numId w:val="30"/>
        </w:numPr>
        <w:spacing w:before="156" w:beforeLines="50" w:after="156" w:afterLines="50" w:line="360" w:lineRule="auto"/>
        <w:ind w:left="2268"/>
        <w:rPr>
          <w:rFonts w:eastAsia="楷体_GB2312"/>
          <w:sz w:val="24"/>
        </w:rPr>
      </w:pPr>
      <w:r>
        <w:rPr>
          <w:rFonts w:eastAsia="楷体_GB2312"/>
          <w:sz w:val="24"/>
        </w:rPr>
        <w:t>提高“受托人”服务报酬或“贷款服务机构”服务报酬；</w:t>
      </w:r>
    </w:p>
    <w:p w14:paraId="4C248BEE">
      <w:pPr>
        <w:numPr>
          <w:ilvl w:val="0"/>
          <w:numId w:val="30"/>
        </w:numPr>
        <w:spacing w:before="156" w:beforeLines="50" w:after="156" w:afterLines="50" w:line="360" w:lineRule="auto"/>
        <w:ind w:left="2268"/>
        <w:rPr>
          <w:rFonts w:eastAsia="楷体_GB2312"/>
          <w:sz w:val="24"/>
        </w:rPr>
      </w:pPr>
      <w:r>
        <w:rPr>
          <w:rFonts w:eastAsia="楷体_GB2312"/>
          <w:sz w:val="24"/>
        </w:rPr>
        <w:t>授权“受托人”签署并做出全部必要文件、行动或事项，以便执行“资产支持证券持有人大会”所形成的决议；</w:t>
      </w:r>
    </w:p>
    <w:p w14:paraId="311904BA">
      <w:pPr>
        <w:numPr>
          <w:ilvl w:val="0"/>
          <w:numId w:val="30"/>
        </w:numPr>
        <w:spacing w:before="156" w:beforeLines="50" w:after="156" w:afterLines="50" w:line="360" w:lineRule="auto"/>
        <w:ind w:left="2268"/>
        <w:rPr>
          <w:rFonts w:eastAsia="楷体_GB2312"/>
          <w:sz w:val="24"/>
        </w:rPr>
      </w:pPr>
      <w:r>
        <w:rPr>
          <w:rFonts w:eastAsia="楷体_GB2312"/>
          <w:sz w:val="24"/>
        </w:rPr>
        <w:t>选任代表（无论其是否为“资产支持证券持有人”），授权该代表执行“资产支持证券持有人大会”所形成的决议；</w:t>
      </w:r>
    </w:p>
    <w:p w14:paraId="27D71BA7">
      <w:pPr>
        <w:numPr>
          <w:ilvl w:val="0"/>
          <w:numId w:val="30"/>
        </w:numPr>
        <w:spacing w:before="156" w:beforeLines="50" w:after="156" w:afterLines="50" w:line="360" w:lineRule="auto"/>
        <w:ind w:left="2268"/>
        <w:rPr>
          <w:rFonts w:eastAsia="楷体_GB2312"/>
          <w:sz w:val="24"/>
        </w:rPr>
      </w:pPr>
      <w:r>
        <w:rPr>
          <w:rFonts w:eastAsia="楷体_GB2312"/>
          <w:sz w:val="24"/>
        </w:rPr>
        <w:t>监督并审议“受托人”和各中介机构对“信托财产”的管理和收支情况，并有权要求“受托人”和各中介机构对相关情况</w:t>
      </w:r>
      <w:r>
        <w:rPr>
          <w:rFonts w:hint="eastAsia" w:eastAsia="楷体_GB2312"/>
          <w:sz w:val="24"/>
        </w:rPr>
        <w:t>作出</w:t>
      </w:r>
      <w:r>
        <w:rPr>
          <w:rFonts w:eastAsia="楷体_GB2312"/>
          <w:sz w:val="24"/>
        </w:rPr>
        <w:t>说明；</w:t>
      </w:r>
    </w:p>
    <w:p w14:paraId="024CA578">
      <w:pPr>
        <w:numPr>
          <w:ilvl w:val="0"/>
          <w:numId w:val="30"/>
        </w:numPr>
        <w:spacing w:before="156" w:beforeLines="50" w:after="156" w:afterLines="50" w:line="360" w:lineRule="auto"/>
        <w:ind w:left="2268"/>
        <w:rPr>
          <w:rFonts w:eastAsia="楷体_GB2312"/>
          <w:sz w:val="24"/>
        </w:rPr>
      </w:pPr>
      <w:r>
        <w:rPr>
          <w:rFonts w:eastAsia="楷体_GB2312"/>
          <w:sz w:val="24"/>
        </w:rPr>
        <w:t>其他根据“交易文件”的约定需由“资产支持持有人大会”决议的事项。</w:t>
      </w:r>
    </w:p>
    <w:p w14:paraId="5174B13A">
      <w:pPr>
        <w:spacing w:before="156" w:beforeLines="50" w:after="156" w:afterLines="50" w:line="360" w:lineRule="auto"/>
        <w:ind w:left="1843"/>
        <w:rPr>
          <w:rFonts w:eastAsia="楷体_GB2312"/>
          <w:b/>
          <w:i/>
          <w:color w:val="FF0000"/>
          <w:sz w:val="24"/>
        </w:rPr>
      </w:pPr>
      <w:bookmarkStart w:id="526" w:name="_Hlk63080847"/>
      <w:r>
        <w:rPr>
          <w:rFonts w:eastAsia="楷体_GB2312"/>
          <w:b/>
          <w:i/>
          <w:color w:val="FF0000"/>
          <w:sz w:val="24"/>
        </w:rPr>
        <w:t>【注：召开资产支持证券持有人大会的事由，可根据项目实际情况进行调整。】</w:t>
      </w:r>
    </w:p>
    <w:bookmarkEnd w:id="526"/>
    <w:p w14:paraId="04BFE69A">
      <w:pPr>
        <w:numPr>
          <w:ilvl w:val="2"/>
          <w:numId w:val="4"/>
        </w:numPr>
        <w:tabs>
          <w:tab w:val="left" w:pos="1843"/>
        </w:tabs>
        <w:spacing w:before="156" w:beforeLines="50" w:after="156" w:afterLines="50" w:line="360" w:lineRule="auto"/>
        <w:ind w:left="1843" w:hanging="851"/>
        <w:rPr>
          <w:rFonts w:eastAsia="楷体_GB2312"/>
          <w:sz w:val="24"/>
        </w:rPr>
      </w:pPr>
      <w:bookmarkStart w:id="527" w:name="_Ref161630723"/>
      <w:r>
        <w:rPr>
          <w:rFonts w:eastAsia="楷体_GB2312"/>
          <w:sz w:val="24"/>
        </w:rPr>
        <w:t>就每一类别的“资产支持证券持有人”组成的“资产支持证券持有人大会”而言，单独或合计持有本类别“资产支持证券”“未偿本金余额”【】%或以上的“资产支持证券持有人”，为“资产支持证券持有人”的共同利益事项，可请求“受托人”召集“资产支持证券持有人大会”。提议“受托人”召集大会的“资产支持证券持有人”应提交书面召集大会申请，该申请应载明提议事项及理由。</w:t>
      </w:r>
      <w:bookmarkEnd w:id="527"/>
    </w:p>
    <w:p w14:paraId="50FE54F9">
      <w:pPr>
        <w:spacing w:before="156" w:beforeLines="50" w:after="156" w:afterLines="50" w:line="360" w:lineRule="auto"/>
        <w:ind w:left="1843"/>
        <w:rPr>
          <w:rFonts w:eastAsia="楷体_GB2312"/>
          <w:b/>
          <w:i/>
          <w:color w:val="FF0000"/>
          <w:sz w:val="24"/>
        </w:rPr>
      </w:pPr>
      <w:r>
        <w:rPr>
          <w:rFonts w:eastAsia="楷体_GB2312"/>
          <w:b/>
          <w:i/>
          <w:color w:val="FF0000"/>
          <w:sz w:val="24"/>
        </w:rPr>
        <w:t>【注：在“次级资产支持证券”的本金全部兑付完毕后，如仍需召开“资产支持证券持有人大会”的，可考虑补充约定：本合同中关于“资产支持证券持有人”召集、出席、表决的比例均以届时“登记托管机构”记载的各“次级资产支持证券持有人”持有的“次级资产支持证券”的份额为基准进行计算，不再以“资产支持证券”的“未偿本金余额”为基准进行计算。】</w:t>
      </w:r>
    </w:p>
    <w:p w14:paraId="480EA2AF">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“资产支持证券持有人”依本合同的约定申请召集“资产支持证券持有人大会”，“受托人”拒绝或因其他理由不能召集时，应于书面申请提出后【】个“工作日”内以书面形式通知该“资产支持证券持有人”。</w:t>
      </w:r>
    </w:p>
    <w:p w14:paraId="7483DF53">
      <w:pPr>
        <w:numPr>
          <w:ilvl w:val="2"/>
          <w:numId w:val="4"/>
        </w:numPr>
        <w:tabs>
          <w:tab w:val="left" w:pos="1843"/>
        </w:tabs>
        <w:spacing w:before="156" w:beforeLines="50" w:after="156" w:afterLines="50" w:line="360" w:lineRule="auto"/>
        <w:ind w:left="1843" w:hanging="851"/>
        <w:rPr>
          <w:rFonts w:eastAsia="楷体_GB2312"/>
          <w:sz w:val="24"/>
        </w:rPr>
      </w:pPr>
      <w:bookmarkStart w:id="528" w:name="_Ref161653257"/>
      <w:r>
        <w:rPr>
          <w:rFonts w:eastAsia="楷体_GB2312"/>
          <w:sz w:val="24"/>
        </w:rPr>
        <w:t>“资产支持证券持有人”依本合同的约定提出书面申请后【】个“工作日”内，“受托人”未召集或因其他理由不能召集时，单独或合计持有本类别“资产支持证券”“未偿本金余额”【】%或以上的“资产支持证券持有人”，可在报“人民银行”备案后自行召集。</w:t>
      </w:r>
      <w:bookmarkEnd w:id="528"/>
    </w:p>
    <w:p w14:paraId="021B657F">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依据本合同第</w:t>
      </w:r>
      <w:r>
        <w:rPr>
          <w:rFonts w:eastAsia="楷体_GB2312"/>
          <w:sz w:val="24"/>
        </w:rPr>
        <w:fldChar w:fldCharType="begin"/>
      </w:r>
      <w:r>
        <w:rPr>
          <w:rFonts w:eastAsia="楷体_GB2312"/>
          <w:sz w:val="24"/>
        </w:rPr>
        <w:instrText xml:space="preserve"> REF _Ref161653257 \r \h  \* MERGEFORMAT </w:instrText>
      </w:r>
      <w:r>
        <w:rPr>
          <w:rFonts w:eastAsia="楷体_GB2312"/>
          <w:sz w:val="24"/>
        </w:rPr>
        <w:fldChar w:fldCharType="separate"/>
      </w:r>
      <w:r>
        <w:rPr>
          <w:rFonts w:eastAsia="楷体_GB2312"/>
          <w:sz w:val="24"/>
        </w:rPr>
        <w:t>18.2.5</w:t>
      </w:r>
      <w:r>
        <w:rPr>
          <w:rFonts w:eastAsia="楷体_GB2312"/>
          <w:sz w:val="24"/>
        </w:rPr>
        <w:fldChar w:fldCharType="end"/>
      </w:r>
      <w:r>
        <w:rPr>
          <w:rFonts w:eastAsia="楷体_GB2312"/>
          <w:sz w:val="24"/>
        </w:rPr>
        <w:t>款召集的“资产支持证券持有人大会”，应通知“受托人”出席。“资产支持证券持有人大会”开会时，“受托人”应出席会议，并接受“资产支持证券持有人大会”的询问。</w:t>
      </w:r>
    </w:p>
    <w:p w14:paraId="701173CE">
      <w:pPr>
        <w:numPr>
          <w:ilvl w:val="2"/>
          <w:numId w:val="4"/>
        </w:numPr>
        <w:tabs>
          <w:tab w:val="left" w:pos="1843"/>
        </w:tabs>
        <w:spacing w:before="156" w:beforeLines="50" w:after="156" w:afterLines="50" w:line="360" w:lineRule="auto"/>
        <w:ind w:left="1843" w:hanging="851"/>
        <w:rPr>
          <w:rFonts w:eastAsia="楷体_GB2312"/>
          <w:sz w:val="24"/>
        </w:rPr>
      </w:pPr>
      <w:bookmarkStart w:id="529" w:name="_Ref161632404"/>
      <w:r>
        <w:rPr>
          <w:rFonts w:eastAsia="楷体_GB2312"/>
          <w:sz w:val="24"/>
        </w:rPr>
        <w:t>“受托人”提议召开或“资产支持证券持有人”自行召集“资产支持证券持有人大会”时，召集人应至少提前【】个“工作日”</w:t>
      </w:r>
      <w:r>
        <w:rPr>
          <w:rFonts w:hint="eastAsia" w:eastAsia="楷体_GB2312"/>
          <w:color w:val="000000"/>
          <w:sz w:val="24"/>
        </w:rPr>
        <w:t>通过</w:t>
      </w:r>
      <w:r>
        <w:rPr>
          <w:rFonts w:eastAsia="楷体_GB2312"/>
          <w:color w:val="000000"/>
          <w:sz w:val="24"/>
        </w:rPr>
        <w:t>“交易商协会”综合业务和信息服务平台、中国货币网、中国债券信息网、“北金所”官方网站及“交易商协会”认可的其他方式</w:t>
      </w:r>
      <w:r>
        <w:rPr>
          <w:rFonts w:eastAsia="楷体_GB2312"/>
          <w:sz w:val="24"/>
        </w:rPr>
        <w:t>公告“资产支持证券持有人大会”的召开时间、地点、会议方式、审议事项、议事程序和表决方式等事项，以通知全体“资产支持证券持有人”相关会议事宜。</w:t>
      </w:r>
      <w:bookmarkEnd w:id="529"/>
    </w:p>
    <w:p w14:paraId="6894884B">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任何类别的“资产支持证券持有人大会”均不得对未经公告的审议事项作出决议。</w:t>
      </w:r>
    </w:p>
    <w:p w14:paraId="253D89BA">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sz w:val="24"/>
        </w:rPr>
      </w:pPr>
      <w:bookmarkStart w:id="530" w:name="_Toc172736603"/>
      <w:bookmarkStart w:id="531" w:name="_Ref150591316"/>
      <w:r>
        <w:rPr>
          <w:rFonts w:eastAsia="楷体_GB2312"/>
          <w:b/>
          <w:sz w:val="24"/>
        </w:rPr>
        <w:t>表决权</w:t>
      </w:r>
      <w:bookmarkEnd w:id="530"/>
    </w:p>
    <w:bookmarkEnd w:id="531"/>
    <w:p w14:paraId="44D96E4D">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出席会议的“资产支持证券持有人”，就其持有的“资产支持证券”每100元人民币面值，拥有一票表决权。</w:t>
      </w:r>
    </w:p>
    <w:p w14:paraId="64694F9F">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大会”召开之日前第【】个“工作日”为表决权登记日。表决权登记日日终时的“资产支持证券持有人”为有权出席“资产支持证券持有人大会”的“资产支持证券持有人”，并根据其持有的“资产支持证券”享有相应的表决权。表决权登记日日终时的“资产支持证券持有人”依据“登记托管机构”所记载的相关数据信息确定。</w:t>
      </w:r>
    </w:p>
    <w:p w14:paraId="372063D3">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可委托代理人出席“资产支持证券持有人大会”，代理人应向“受托人”提供“资产支持证券持有人”出具的载明授权范围的授权委托书，并在授权范围内行使表决权。每位“资产支持证券持有人”仅能出具一份授权委托书并委托一位代理人。</w:t>
      </w:r>
    </w:p>
    <w:p w14:paraId="70A2600E">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出席“资产支持证券持有人大会”的同一“资产支持证券持有人”，就同一议案不得分割行使其表决权。法人或其他组织为“资产支持证券持有人”时，其代表人仅限于一人。</w:t>
      </w:r>
    </w:p>
    <w:p w14:paraId="204BE117">
      <w:pPr>
        <w:numPr>
          <w:ilvl w:val="1"/>
          <w:numId w:val="4"/>
        </w:numPr>
        <w:tabs>
          <w:tab w:val="left" w:pos="992"/>
        </w:tabs>
        <w:spacing w:before="156" w:beforeLines="50" w:after="156" w:afterLines="50" w:line="360" w:lineRule="auto"/>
        <w:ind w:left="879" w:hanging="454"/>
        <w:outlineLvl w:val="1"/>
        <w:rPr>
          <w:rFonts w:eastAsia="楷体_GB2312"/>
          <w:b/>
          <w:kern w:val="0"/>
          <w:sz w:val="24"/>
        </w:rPr>
      </w:pPr>
      <w:bookmarkStart w:id="532" w:name="_Toc152168193"/>
      <w:bookmarkStart w:id="533" w:name="_Toc152168749"/>
      <w:bookmarkStart w:id="534" w:name="_Toc172736604"/>
      <w:bookmarkStart w:id="535" w:name="_Toc151554359"/>
      <w:r>
        <w:rPr>
          <w:rFonts w:eastAsia="楷体_GB2312"/>
          <w:b/>
          <w:kern w:val="0"/>
          <w:sz w:val="24"/>
        </w:rPr>
        <w:t>会议方式</w:t>
      </w:r>
      <w:bookmarkEnd w:id="532"/>
      <w:bookmarkEnd w:id="533"/>
      <w:bookmarkEnd w:id="534"/>
      <w:bookmarkEnd w:id="535"/>
    </w:p>
    <w:p w14:paraId="1A06E754">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“资产支持证券持有人大会”可采取现场或通讯方式进行，“资产支持证券持有人”可以现场方式或通讯方式行使表决权。</w:t>
      </w:r>
    </w:p>
    <w:p w14:paraId="15E54F4B">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以通讯方式行使表决权的“资产支持证券持有人”，视为亲自出席“资产支持证券持有人大会”。</w:t>
      </w:r>
    </w:p>
    <w:p w14:paraId="191FB88E">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sz w:val="24"/>
        </w:rPr>
        <w:t>“资产支持证券持有人”以通讯方式行使表决权的，其行使表决权的意思表示（下称“意思表示”）应于“资产支持证券持有人大会”开会【】个“工作日”前送达“受托人”，“资产支持证券持有人”先后送达两份以上的意思表示的，以后送达者为准，但后送达的意思表示不符合前述时间要求的除外。“资产支持证券持有人”以通讯方式行使表决权后，打算亲自出席“资产支持证券持有人大会”的，至迟应于“资产支持证券持有人大会”开会前【】个“工作日”，以与行使表决权相同之方式撤销前项行使表决权的意思表示；逾期撤销者，以通讯方式行使的表决权为准。</w:t>
      </w:r>
    </w:p>
    <w:p w14:paraId="70F7DDEC">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kern w:val="0"/>
          <w:sz w:val="24"/>
        </w:rPr>
      </w:pPr>
      <w:bookmarkStart w:id="536" w:name="_Toc172736605"/>
      <w:r>
        <w:rPr>
          <w:rFonts w:eastAsia="楷体_GB2312"/>
          <w:b/>
          <w:kern w:val="0"/>
          <w:sz w:val="24"/>
        </w:rPr>
        <w:t>全体同意事项</w:t>
      </w:r>
      <w:bookmarkEnd w:id="536"/>
    </w:p>
    <w:p w14:paraId="7009ABBB">
      <w:pPr>
        <w:tabs>
          <w:tab w:val="left" w:pos="1800"/>
          <w:tab w:val="left" w:pos="1980"/>
        </w:tabs>
        <w:spacing w:before="156" w:beforeLines="50" w:after="156" w:afterLines="50" w:line="360" w:lineRule="auto"/>
        <w:ind w:left="992"/>
        <w:rPr>
          <w:rFonts w:eastAsia="楷体_GB2312"/>
          <w:kern w:val="0"/>
          <w:sz w:val="24"/>
        </w:rPr>
      </w:pPr>
      <w:r>
        <w:rPr>
          <w:rFonts w:eastAsia="楷体_GB2312"/>
          <w:kern w:val="0"/>
          <w:sz w:val="24"/>
        </w:rPr>
        <w:t>本合同第</w:t>
      </w:r>
      <w:r>
        <w:rPr>
          <w:rFonts w:eastAsia="楷体_GB2312"/>
          <w:sz w:val="24"/>
        </w:rPr>
        <w:fldChar w:fldCharType="begin"/>
      </w:r>
      <w:r>
        <w:rPr>
          <w:rFonts w:eastAsia="楷体_GB2312"/>
          <w:sz w:val="24"/>
        </w:rPr>
        <w:instrText xml:space="preserve">REF _Ref520884943 \r \h \* MERGEFORMAT </w:instrText>
      </w:r>
      <w:r>
        <w:rPr>
          <w:rFonts w:eastAsia="楷体_GB2312"/>
          <w:sz w:val="24"/>
        </w:rPr>
        <w:fldChar w:fldCharType="separate"/>
      </w:r>
      <w:r>
        <w:rPr>
          <w:rFonts w:eastAsia="楷体_GB2312"/>
          <w:kern w:val="0"/>
          <w:sz w:val="24"/>
        </w:rPr>
        <w:t>18.2.2</w:t>
      </w:r>
      <w:r>
        <w:rPr>
          <w:rFonts w:eastAsia="楷体_GB2312"/>
          <w:kern w:val="0"/>
          <w:sz w:val="24"/>
        </w:rPr>
        <w:fldChar w:fldCharType="end"/>
      </w:r>
      <w:r>
        <w:rPr>
          <w:rFonts w:eastAsia="楷体_GB2312"/>
          <w:kern w:val="0"/>
          <w:sz w:val="24"/>
        </w:rPr>
        <w:t>款</w:t>
      </w:r>
      <w:r>
        <w:rPr>
          <w:rFonts w:eastAsia="楷体_GB2312"/>
          <w:sz w:val="24"/>
        </w:rPr>
        <w:fldChar w:fldCharType="begin"/>
      </w:r>
      <w:r>
        <w:rPr>
          <w:rFonts w:eastAsia="楷体_GB2312"/>
          <w:sz w:val="24"/>
        </w:rPr>
        <w:instrText xml:space="preserve"> REF _Ref520884947 \r \h  \* MERGEFORMAT </w:instrText>
      </w:r>
      <w:r>
        <w:rPr>
          <w:rFonts w:eastAsia="楷体_GB2312"/>
          <w:sz w:val="24"/>
        </w:rPr>
        <w:fldChar w:fldCharType="separate"/>
      </w:r>
      <w:r>
        <w:rPr>
          <w:rFonts w:eastAsia="楷体_GB2312"/>
          <w:kern w:val="0"/>
          <w:sz w:val="24"/>
        </w:rPr>
        <w:t>(1)</w:t>
      </w:r>
      <w:r>
        <w:rPr>
          <w:rFonts w:eastAsia="楷体_GB2312"/>
          <w:kern w:val="0"/>
          <w:sz w:val="24"/>
        </w:rPr>
        <w:fldChar w:fldCharType="end"/>
      </w:r>
      <w:r>
        <w:rPr>
          <w:rFonts w:eastAsia="楷体_GB2312"/>
          <w:kern w:val="0"/>
          <w:sz w:val="24"/>
        </w:rPr>
        <w:t>项和第</w:t>
      </w:r>
      <w:r>
        <w:rPr>
          <w:rFonts w:eastAsia="楷体_GB2312"/>
          <w:sz w:val="24"/>
        </w:rPr>
        <w:fldChar w:fldCharType="begin"/>
      </w:r>
      <w:r>
        <w:rPr>
          <w:rFonts w:eastAsia="楷体_GB2312"/>
          <w:sz w:val="24"/>
        </w:rPr>
        <w:instrText xml:space="preserve"> REF _Ref520884943 \r \h  \* MERGEFORMAT </w:instrText>
      </w:r>
      <w:r>
        <w:rPr>
          <w:rFonts w:eastAsia="楷体_GB2312"/>
          <w:sz w:val="24"/>
        </w:rPr>
        <w:fldChar w:fldCharType="separate"/>
      </w:r>
      <w:r>
        <w:rPr>
          <w:rFonts w:eastAsia="楷体_GB2312"/>
          <w:kern w:val="0"/>
          <w:sz w:val="24"/>
        </w:rPr>
        <w:t>18.2.2</w:t>
      </w:r>
      <w:r>
        <w:rPr>
          <w:rFonts w:eastAsia="楷体_GB2312"/>
          <w:kern w:val="0"/>
          <w:sz w:val="24"/>
        </w:rPr>
        <w:fldChar w:fldCharType="end"/>
      </w:r>
      <w:r>
        <w:rPr>
          <w:rFonts w:eastAsia="楷体_GB2312"/>
          <w:kern w:val="0"/>
          <w:sz w:val="24"/>
        </w:rPr>
        <w:t>款</w:t>
      </w:r>
      <w:r>
        <w:rPr>
          <w:rFonts w:eastAsia="楷体_GB2312"/>
          <w:sz w:val="24"/>
        </w:rPr>
        <w:fldChar w:fldCharType="begin"/>
      </w:r>
      <w:r>
        <w:rPr>
          <w:rFonts w:eastAsia="楷体_GB2312"/>
          <w:sz w:val="24"/>
        </w:rPr>
        <w:instrText xml:space="preserve"> REF _Ref523145349 \r \h  \* MERGEFORMAT </w:instrText>
      </w:r>
      <w:r>
        <w:rPr>
          <w:rFonts w:eastAsia="楷体_GB2312"/>
          <w:sz w:val="24"/>
        </w:rPr>
        <w:fldChar w:fldCharType="separate"/>
      </w:r>
      <w:r>
        <w:rPr>
          <w:rFonts w:eastAsia="楷体_GB2312"/>
          <w:kern w:val="0"/>
          <w:sz w:val="24"/>
        </w:rPr>
        <w:t>(2)</w:t>
      </w:r>
      <w:r>
        <w:rPr>
          <w:rFonts w:eastAsia="楷体_GB2312"/>
          <w:kern w:val="0"/>
          <w:sz w:val="24"/>
        </w:rPr>
        <w:fldChar w:fldCharType="end"/>
      </w:r>
      <w:r>
        <w:rPr>
          <w:rFonts w:eastAsia="楷体_GB2312"/>
          <w:kern w:val="0"/>
          <w:sz w:val="24"/>
        </w:rPr>
        <w:t>项所列事项（下称“全体同意事项”），必须经全体“资产支持证券持有人”一致同意后方可形成决议。</w:t>
      </w:r>
    </w:p>
    <w:p w14:paraId="3E0E0EA8">
      <w:pPr>
        <w:spacing w:before="156" w:beforeLines="50" w:after="156" w:afterLines="50" w:line="360" w:lineRule="auto"/>
        <w:ind w:left="992"/>
        <w:rPr>
          <w:rFonts w:eastAsia="楷体_GB2312"/>
          <w:i/>
          <w:color w:val="FF0000"/>
          <w:kern w:val="0"/>
          <w:sz w:val="24"/>
        </w:rPr>
      </w:pPr>
      <w:r>
        <w:rPr>
          <w:rFonts w:eastAsia="楷体_GB2312"/>
          <w:b/>
          <w:i/>
          <w:color w:val="FF0000"/>
          <w:kern w:val="0"/>
          <w:sz w:val="24"/>
        </w:rPr>
        <w:t>【注：全体同意事项所含事项内容，可根据项目安排进行调整。】</w:t>
      </w:r>
    </w:p>
    <w:p w14:paraId="3C552843">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kern w:val="0"/>
          <w:sz w:val="24"/>
        </w:rPr>
      </w:pPr>
      <w:bookmarkStart w:id="537" w:name="_Toc172736606"/>
      <w:r>
        <w:rPr>
          <w:rFonts w:eastAsia="楷体_GB2312"/>
          <w:b/>
          <w:kern w:val="0"/>
          <w:sz w:val="24"/>
        </w:rPr>
        <w:t>特别</w:t>
      </w:r>
      <w:r>
        <w:rPr>
          <w:rFonts w:eastAsia="楷体_GB2312"/>
          <w:b/>
          <w:sz w:val="24"/>
        </w:rPr>
        <w:t>决议</w:t>
      </w:r>
      <w:r>
        <w:rPr>
          <w:rFonts w:eastAsia="楷体_GB2312"/>
          <w:b/>
          <w:kern w:val="0"/>
          <w:sz w:val="24"/>
        </w:rPr>
        <w:t>事项</w:t>
      </w:r>
      <w:bookmarkEnd w:id="537"/>
    </w:p>
    <w:p w14:paraId="29F65507">
      <w:pPr>
        <w:tabs>
          <w:tab w:val="left" w:pos="1800"/>
          <w:tab w:val="left" w:pos="1980"/>
        </w:tabs>
        <w:spacing w:before="156" w:beforeLines="50" w:after="156" w:afterLines="50" w:line="360" w:lineRule="auto"/>
        <w:ind w:left="992"/>
        <w:rPr>
          <w:rFonts w:eastAsia="楷体_GB2312"/>
          <w:kern w:val="0"/>
          <w:sz w:val="24"/>
        </w:rPr>
      </w:pPr>
      <w:r>
        <w:rPr>
          <w:rFonts w:eastAsia="楷体_GB2312"/>
          <w:sz w:val="24"/>
        </w:rPr>
        <w:t>每一类别的“资产支持证券持有人”组成的“资产支持证券持有人大会”本合同第</w:t>
      </w:r>
      <w:r>
        <w:rPr>
          <w:rFonts w:eastAsia="楷体_GB2312"/>
          <w:sz w:val="24"/>
        </w:rPr>
        <w:fldChar w:fldCharType="begin"/>
      </w:r>
      <w:r>
        <w:rPr>
          <w:rFonts w:eastAsia="楷体_GB2312"/>
          <w:sz w:val="24"/>
        </w:rPr>
        <w:instrText xml:space="preserve">REF _Ref520884943 \r \h \* MERGEFORMAT </w:instrText>
      </w:r>
      <w:r>
        <w:rPr>
          <w:rFonts w:eastAsia="楷体_GB2312"/>
          <w:sz w:val="24"/>
        </w:rPr>
        <w:fldChar w:fldCharType="separate"/>
      </w:r>
      <w:r>
        <w:rPr>
          <w:rFonts w:eastAsia="楷体_GB2312"/>
          <w:sz w:val="24"/>
        </w:rPr>
        <w:t>18.2.2</w:t>
      </w:r>
      <w:r>
        <w:rPr>
          <w:rFonts w:eastAsia="楷体_GB2312"/>
          <w:sz w:val="24"/>
        </w:rPr>
        <w:fldChar w:fldCharType="end"/>
      </w:r>
      <w:r>
        <w:rPr>
          <w:rFonts w:eastAsia="楷体_GB2312"/>
          <w:sz w:val="24"/>
        </w:rPr>
        <w:t>款</w:t>
      </w:r>
      <w:r>
        <w:rPr>
          <w:rFonts w:eastAsia="楷体_GB2312"/>
          <w:sz w:val="24"/>
        </w:rPr>
        <w:fldChar w:fldCharType="begin"/>
      </w:r>
      <w:r>
        <w:rPr>
          <w:rFonts w:eastAsia="楷体_GB2312"/>
          <w:sz w:val="24"/>
        </w:rPr>
        <w:instrText xml:space="preserve"> REF _Ref520885588 \r \h  \* MERGEFORMAT </w:instrText>
      </w:r>
      <w:r>
        <w:rPr>
          <w:rFonts w:eastAsia="楷体_GB2312"/>
          <w:sz w:val="24"/>
        </w:rPr>
        <w:fldChar w:fldCharType="separate"/>
      </w:r>
      <w:r>
        <w:rPr>
          <w:rFonts w:eastAsia="楷体_GB2312"/>
          <w:sz w:val="24"/>
        </w:rPr>
        <w:t>(3)</w:t>
      </w:r>
      <w:r>
        <w:rPr>
          <w:rFonts w:eastAsia="楷体_GB2312"/>
          <w:sz w:val="24"/>
        </w:rPr>
        <w:fldChar w:fldCharType="end"/>
      </w:r>
      <w:r>
        <w:rPr>
          <w:rFonts w:eastAsia="楷体_GB2312"/>
          <w:sz w:val="24"/>
        </w:rPr>
        <w:t>项至第</w:t>
      </w:r>
      <w:r>
        <w:rPr>
          <w:rFonts w:eastAsia="楷体_GB2312"/>
          <w:sz w:val="24"/>
        </w:rPr>
        <w:fldChar w:fldCharType="begin"/>
      </w:r>
      <w:r>
        <w:rPr>
          <w:rFonts w:eastAsia="楷体_GB2312"/>
          <w:sz w:val="24"/>
        </w:rPr>
        <w:instrText xml:space="preserve"> REF _Ref520884943 \r \h  \* MERGEFORMAT </w:instrText>
      </w:r>
      <w:r>
        <w:rPr>
          <w:rFonts w:eastAsia="楷体_GB2312"/>
          <w:sz w:val="24"/>
        </w:rPr>
        <w:fldChar w:fldCharType="separate"/>
      </w:r>
      <w:r>
        <w:rPr>
          <w:rFonts w:eastAsia="楷体_GB2312"/>
          <w:sz w:val="24"/>
        </w:rPr>
        <w:t>18.2.2</w:t>
      </w:r>
      <w:r>
        <w:rPr>
          <w:rFonts w:eastAsia="楷体_GB2312"/>
          <w:sz w:val="24"/>
        </w:rPr>
        <w:fldChar w:fldCharType="end"/>
      </w:r>
      <w:r>
        <w:rPr>
          <w:rFonts w:eastAsia="楷体_GB2312"/>
          <w:sz w:val="24"/>
        </w:rPr>
        <w:t>款</w:t>
      </w:r>
      <w:r>
        <w:rPr>
          <w:rFonts w:eastAsia="楷体_GB2312"/>
          <w:sz w:val="24"/>
        </w:rPr>
        <w:fldChar w:fldCharType="begin"/>
      </w:r>
      <w:r>
        <w:rPr>
          <w:rFonts w:eastAsia="楷体_GB2312"/>
          <w:sz w:val="24"/>
        </w:rPr>
        <w:instrText xml:space="preserve"> REF _Ref520885593 \r \h  \* MERGEFORMAT </w:instrText>
      </w:r>
      <w:r>
        <w:rPr>
          <w:rFonts w:eastAsia="楷体_GB2312"/>
          <w:sz w:val="24"/>
        </w:rPr>
        <w:fldChar w:fldCharType="separate"/>
      </w:r>
      <w:r>
        <w:rPr>
          <w:rFonts w:eastAsia="楷体_GB2312"/>
          <w:sz w:val="24"/>
        </w:rPr>
        <w:t>(13)</w:t>
      </w:r>
      <w:r>
        <w:rPr>
          <w:rFonts w:eastAsia="楷体_GB2312"/>
          <w:sz w:val="24"/>
        </w:rPr>
        <w:fldChar w:fldCharType="end"/>
      </w:r>
      <w:r>
        <w:rPr>
          <w:rFonts w:eastAsia="楷体_GB2312"/>
          <w:sz w:val="24"/>
        </w:rPr>
        <w:t>项</w:t>
      </w:r>
      <w:r>
        <w:rPr>
          <w:rFonts w:eastAsia="楷体_GB2312"/>
          <w:kern w:val="0"/>
          <w:sz w:val="24"/>
        </w:rPr>
        <w:t>所列事项（下称“特别决议事项”）</w:t>
      </w:r>
      <w:r>
        <w:rPr>
          <w:rFonts w:eastAsia="楷体_GB2312"/>
          <w:sz w:val="24"/>
        </w:rPr>
        <w:t>所形成的决议，必须经单独或合计持有本类别“资产支持证券”“未偿本金余额”【】</w:t>
      </w:r>
      <w:r>
        <w:rPr>
          <w:rFonts w:eastAsia="楷体_GB2312"/>
          <w:kern w:val="0"/>
          <w:sz w:val="24"/>
        </w:rPr>
        <w:t>%</w:t>
      </w:r>
      <w:r>
        <w:rPr>
          <w:rFonts w:eastAsia="楷体_GB2312"/>
          <w:sz w:val="24"/>
        </w:rPr>
        <w:t>以上的“资产支持证券持有人”出席，</w:t>
      </w:r>
      <w:r>
        <w:rPr>
          <w:rFonts w:eastAsia="楷体_GB2312"/>
          <w:kern w:val="0"/>
          <w:sz w:val="24"/>
        </w:rPr>
        <w:t>且经出席</w:t>
      </w:r>
      <w:r>
        <w:rPr>
          <w:rFonts w:eastAsia="楷体_GB2312"/>
          <w:sz w:val="24"/>
        </w:rPr>
        <w:t>“资产支持证券持有人”表决权总数的</w:t>
      </w:r>
      <w:r>
        <w:rPr>
          <w:rFonts w:eastAsia="楷体_GB2312"/>
          <w:kern w:val="0"/>
          <w:sz w:val="24"/>
        </w:rPr>
        <w:t>【】%以上的同意。</w:t>
      </w:r>
    </w:p>
    <w:p w14:paraId="6A28BA58">
      <w:pPr>
        <w:spacing w:before="156" w:beforeLines="50" w:after="156" w:afterLines="50" w:line="360" w:lineRule="auto"/>
        <w:ind w:left="992"/>
        <w:rPr>
          <w:rFonts w:eastAsia="楷体_GB2312"/>
          <w:b/>
          <w:i/>
          <w:color w:val="FF0000"/>
          <w:kern w:val="0"/>
          <w:sz w:val="24"/>
        </w:rPr>
      </w:pPr>
      <w:r>
        <w:rPr>
          <w:rFonts w:eastAsia="楷体_GB2312"/>
          <w:b/>
          <w:i/>
          <w:color w:val="FF0000"/>
          <w:kern w:val="0"/>
          <w:sz w:val="24"/>
        </w:rPr>
        <w:t>【注：特别决议事项所含事项内容，可根据项目安排进行调整。】</w:t>
      </w:r>
    </w:p>
    <w:p w14:paraId="3781A2C7">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kern w:val="0"/>
          <w:sz w:val="24"/>
        </w:rPr>
      </w:pPr>
      <w:bookmarkStart w:id="538" w:name="_Toc172736607"/>
      <w:bookmarkStart w:id="539" w:name="_Ref161132275"/>
      <w:r>
        <w:rPr>
          <w:rFonts w:eastAsia="楷体_GB2312"/>
          <w:b/>
          <w:kern w:val="0"/>
          <w:sz w:val="24"/>
        </w:rPr>
        <w:t>普通决议事项</w:t>
      </w:r>
      <w:bookmarkEnd w:id="538"/>
    </w:p>
    <w:p w14:paraId="034E79D9">
      <w:pPr>
        <w:numPr>
          <w:ilvl w:val="2"/>
          <w:numId w:val="4"/>
        </w:numPr>
        <w:tabs>
          <w:tab w:val="left" w:pos="1843"/>
        </w:tabs>
        <w:spacing w:before="156" w:beforeLines="50" w:after="156" w:afterLines="50" w:line="360" w:lineRule="auto"/>
        <w:ind w:left="1843" w:hanging="851"/>
        <w:rPr>
          <w:rFonts w:eastAsia="楷体_GB2312"/>
          <w:sz w:val="24"/>
        </w:rPr>
      </w:pPr>
      <w:r>
        <w:rPr>
          <w:rFonts w:eastAsia="楷体_GB2312"/>
          <w:kern w:val="0"/>
          <w:sz w:val="24"/>
        </w:rPr>
        <w:t>除“</w:t>
      </w:r>
      <w:r>
        <w:rPr>
          <w:rFonts w:eastAsia="楷体_GB2312"/>
          <w:sz w:val="24"/>
        </w:rPr>
        <w:t>全体同意事项”和“特别决议事项”以外的事项为“普通决议事项”。</w:t>
      </w:r>
    </w:p>
    <w:p w14:paraId="74A52D3B">
      <w:pPr>
        <w:numPr>
          <w:ilvl w:val="2"/>
          <w:numId w:val="4"/>
        </w:numPr>
        <w:tabs>
          <w:tab w:val="left" w:pos="1843"/>
        </w:tabs>
        <w:spacing w:before="156" w:beforeLines="50" w:after="156" w:afterLines="50" w:line="360" w:lineRule="auto"/>
        <w:ind w:left="1843" w:hanging="851"/>
        <w:rPr>
          <w:rFonts w:eastAsia="楷体_GB2312"/>
          <w:kern w:val="0"/>
          <w:sz w:val="24"/>
        </w:rPr>
      </w:pPr>
      <w:r>
        <w:rPr>
          <w:rFonts w:eastAsia="楷体_GB2312"/>
          <w:sz w:val="24"/>
        </w:rPr>
        <w:t>每一类别的“资产支持证券持有人”组成的“资产支持证券持有人大会”就“普通决议事项”所形成的决议，必须经单独或合计持有本类别“资产支持证券”“未偿本金余额”【】%以上的“资产支持证券持有人”出席，且</w:t>
      </w:r>
      <w:r>
        <w:rPr>
          <w:rFonts w:eastAsia="楷体_GB2312"/>
          <w:kern w:val="0"/>
          <w:sz w:val="24"/>
        </w:rPr>
        <w:t>经出席</w:t>
      </w:r>
      <w:r>
        <w:rPr>
          <w:rFonts w:eastAsia="楷体_GB2312"/>
          <w:sz w:val="24"/>
        </w:rPr>
        <w:t>“资产支持证券持有人”表决权总数的【】</w:t>
      </w:r>
      <w:r>
        <w:rPr>
          <w:rFonts w:eastAsia="楷体_GB2312"/>
          <w:kern w:val="0"/>
          <w:sz w:val="24"/>
        </w:rPr>
        <w:t>%以上的同意。</w:t>
      </w:r>
    </w:p>
    <w:p w14:paraId="7FC52180">
      <w:pPr>
        <w:spacing w:before="156" w:beforeLines="50" w:after="156" w:afterLines="50" w:line="360" w:lineRule="auto"/>
        <w:ind w:left="992"/>
        <w:rPr>
          <w:rFonts w:eastAsia="楷体_GB2312"/>
          <w:b/>
          <w:i/>
          <w:color w:val="FF0000"/>
          <w:kern w:val="0"/>
          <w:sz w:val="24"/>
        </w:rPr>
      </w:pPr>
      <w:r>
        <w:rPr>
          <w:rFonts w:eastAsia="楷体_GB2312"/>
          <w:b/>
          <w:i/>
          <w:color w:val="FF0000"/>
          <w:kern w:val="0"/>
          <w:sz w:val="24"/>
        </w:rPr>
        <w:t>【注：特别决议事项、普通决议事项所含事项内容及表决权要求，可根据项目安排进行调整。】</w:t>
      </w:r>
    </w:p>
    <w:p w14:paraId="48A32003">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kern w:val="0"/>
          <w:sz w:val="24"/>
        </w:rPr>
      </w:pPr>
      <w:bookmarkStart w:id="540" w:name="_Toc172736608"/>
      <w:r>
        <w:rPr>
          <w:rFonts w:eastAsia="楷体_GB2312"/>
          <w:b/>
          <w:kern w:val="0"/>
          <w:sz w:val="24"/>
        </w:rPr>
        <w:t>决议之间的冲突</w:t>
      </w:r>
      <w:bookmarkEnd w:id="539"/>
      <w:bookmarkEnd w:id="540"/>
    </w:p>
    <w:p w14:paraId="350FFE50">
      <w:pPr>
        <w:autoSpaceDE w:val="0"/>
        <w:autoSpaceDN w:val="0"/>
        <w:adjustRightInd w:val="0"/>
        <w:spacing w:before="156" w:beforeLines="50" w:after="156" w:afterLines="50" w:line="360" w:lineRule="auto"/>
        <w:ind w:left="992"/>
        <w:rPr>
          <w:rFonts w:eastAsia="楷体_GB2312"/>
          <w:kern w:val="0"/>
          <w:sz w:val="24"/>
        </w:rPr>
      </w:pPr>
      <w:r>
        <w:rPr>
          <w:rFonts w:eastAsia="楷体_GB2312"/>
          <w:kern w:val="0"/>
          <w:sz w:val="24"/>
        </w:rPr>
        <w:t>如果不同类别</w:t>
      </w:r>
      <w:r>
        <w:rPr>
          <w:rFonts w:eastAsia="楷体_GB2312"/>
          <w:sz w:val="24"/>
        </w:rPr>
        <w:t>“</w:t>
      </w:r>
      <w:r>
        <w:rPr>
          <w:rFonts w:eastAsia="楷体_GB2312"/>
          <w:kern w:val="0"/>
          <w:sz w:val="24"/>
        </w:rPr>
        <w:t>资产支持证券持有人大会</w:t>
      </w:r>
      <w:r>
        <w:rPr>
          <w:rFonts w:eastAsia="楷体_GB2312"/>
          <w:sz w:val="24"/>
        </w:rPr>
        <w:t>”</w:t>
      </w:r>
      <w:r>
        <w:rPr>
          <w:rFonts w:eastAsia="楷体_GB2312"/>
          <w:kern w:val="0"/>
          <w:sz w:val="24"/>
        </w:rPr>
        <w:t>就同一事项所做的决议不同，或存在冲突，除非本合同另有约定，应按照如下规则确定各类别</w:t>
      </w:r>
      <w:r>
        <w:rPr>
          <w:rFonts w:eastAsia="楷体_GB2312"/>
          <w:sz w:val="24"/>
        </w:rPr>
        <w:t>“</w:t>
      </w:r>
      <w:r>
        <w:rPr>
          <w:rFonts w:eastAsia="楷体_GB2312"/>
          <w:kern w:val="0"/>
          <w:sz w:val="24"/>
        </w:rPr>
        <w:t>资产支持证券持有人大会</w:t>
      </w:r>
      <w:r>
        <w:rPr>
          <w:rFonts w:eastAsia="楷体_GB2312"/>
          <w:sz w:val="24"/>
        </w:rPr>
        <w:t>”</w:t>
      </w:r>
      <w:r>
        <w:rPr>
          <w:rFonts w:eastAsia="楷体_GB2312"/>
          <w:kern w:val="0"/>
          <w:sz w:val="24"/>
        </w:rPr>
        <w:t>决议的效力：如果</w:t>
      </w:r>
      <w:r>
        <w:rPr>
          <w:rFonts w:eastAsia="楷体_GB2312"/>
          <w:bCs/>
          <w:sz w:val="24"/>
        </w:rPr>
        <w:t>“</w:t>
      </w:r>
      <w:r>
        <w:rPr>
          <w:rFonts w:eastAsia="楷体_GB2312"/>
          <w:kern w:val="0"/>
          <w:sz w:val="24"/>
        </w:rPr>
        <w:t>优先A级资产支持证券</w:t>
      </w:r>
      <w:r>
        <w:rPr>
          <w:rFonts w:eastAsia="楷体_GB2312"/>
          <w:bCs/>
          <w:sz w:val="24"/>
        </w:rPr>
        <w:t>”</w:t>
      </w:r>
      <w:r>
        <w:rPr>
          <w:rFonts w:eastAsia="楷体_GB2312"/>
          <w:kern w:val="0"/>
          <w:sz w:val="24"/>
        </w:rPr>
        <w:t>本息尚未清偿完毕，应以“优先A级资产支持证券持有人”组成的</w:t>
      </w:r>
      <w:r>
        <w:rPr>
          <w:rFonts w:eastAsia="楷体_GB2312"/>
          <w:bCs/>
          <w:sz w:val="24"/>
        </w:rPr>
        <w:t>“</w:t>
      </w:r>
      <w:r>
        <w:rPr>
          <w:rFonts w:eastAsia="楷体_GB2312"/>
          <w:kern w:val="0"/>
          <w:sz w:val="24"/>
        </w:rPr>
        <w:t>资产支持证券持有人大会</w:t>
      </w:r>
      <w:r>
        <w:rPr>
          <w:rFonts w:eastAsia="楷体_GB2312"/>
          <w:bCs/>
          <w:sz w:val="24"/>
        </w:rPr>
        <w:t>”</w:t>
      </w:r>
      <w:r>
        <w:rPr>
          <w:rFonts w:eastAsia="楷体_GB2312"/>
          <w:kern w:val="0"/>
          <w:sz w:val="24"/>
        </w:rPr>
        <w:t>的决议为准；如果</w:t>
      </w:r>
      <w:r>
        <w:rPr>
          <w:rFonts w:eastAsia="楷体_GB2312"/>
          <w:bCs/>
          <w:sz w:val="24"/>
        </w:rPr>
        <w:t>“</w:t>
      </w:r>
      <w:r>
        <w:rPr>
          <w:rFonts w:eastAsia="楷体_GB2312"/>
          <w:kern w:val="0"/>
          <w:sz w:val="24"/>
        </w:rPr>
        <w:t>优先A级资产支持证券</w:t>
      </w:r>
      <w:r>
        <w:rPr>
          <w:rFonts w:eastAsia="楷体_GB2312"/>
          <w:bCs/>
          <w:sz w:val="24"/>
        </w:rPr>
        <w:t>”</w:t>
      </w:r>
      <w:r>
        <w:rPr>
          <w:rFonts w:eastAsia="楷体_GB2312"/>
          <w:kern w:val="0"/>
          <w:sz w:val="24"/>
        </w:rPr>
        <w:t>已清偿完毕但</w:t>
      </w:r>
      <w:r>
        <w:rPr>
          <w:rFonts w:eastAsia="楷体_GB2312"/>
          <w:bCs/>
          <w:sz w:val="24"/>
        </w:rPr>
        <w:t>“</w:t>
      </w:r>
      <w:r>
        <w:rPr>
          <w:rFonts w:eastAsia="楷体_GB2312"/>
          <w:kern w:val="0"/>
          <w:sz w:val="24"/>
        </w:rPr>
        <w:t>优先B级资产支持证券</w:t>
      </w:r>
      <w:r>
        <w:rPr>
          <w:rFonts w:eastAsia="楷体_GB2312"/>
          <w:bCs/>
          <w:sz w:val="24"/>
        </w:rPr>
        <w:t>”</w:t>
      </w:r>
      <w:r>
        <w:rPr>
          <w:rFonts w:eastAsia="楷体_GB2312"/>
          <w:kern w:val="0"/>
          <w:sz w:val="24"/>
        </w:rPr>
        <w:t>本息尚未清偿完毕，应以“优先B级资产支持证券持有人”组成的</w:t>
      </w:r>
      <w:r>
        <w:rPr>
          <w:rFonts w:eastAsia="楷体_GB2312"/>
          <w:bCs/>
          <w:sz w:val="24"/>
        </w:rPr>
        <w:t>“</w:t>
      </w:r>
      <w:r>
        <w:rPr>
          <w:rFonts w:eastAsia="楷体_GB2312"/>
          <w:kern w:val="0"/>
          <w:sz w:val="24"/>
        </w:rPr>
        <w:t>资产支持证券持有人大会</w:t>
      </w:r>
      <w:r>
        <w:rPr>
          <w:rFonts w:eastAsia="楷体_GB2312"/>
          <w:bCs/>
          <w:sz w:val="24"/>
        </w:rPr>
        <w:t>”</w:t>
      </w:r>
      <w:r>
        <w:rPr>
          <w:rFonts w:eastAsia="楷体_GB2312"/>
          <w:kern w:val="0"/>
          <w:sz w:val="24"/>
        </w:rPr>
        <w:t>的决议为准；当</w:t>
      </w:r>
      <w:r>
        <w:rPr>
          <w:rFonts w:eastAsia="楷体_GB2312"/>
          <w:bCs/>
          <w:sz w:val="24"/>
        </w:rPr>
        <w:t>“</w:t>
      </w:r>
      <w:r>
        <w:rPr>
          <w:rFonts w:eastAsia="楷体_GB2312"/>
          <w:kern w:val="0"/>
          <w:sz w:val="24"/>
        </w:rPr>
        <w:t>优先A级资产支持证券</w:t>
      </w:r>
      <w:r>
        <w:rPr>
          <w:rFonts w:eastAsia="楷体_GB2312"/>
          <w:bCs/>
          <w:sz w:val="24"/>
        </w:rPr>
        <w:t>”</w:t>
      </w:r>
      <w:r>
        <w:rPr>
          <w:rFonts w:eastAsia="楷体_GB2312"/>
          <w:kern w:val="0"/>
          <w:sz w:val="24"/>
        </w:rPr>
        <w:t>和</w:t>
      </w:r>
      <w:r>
        <w:rPr>
          <w:rFonts w:eastAsia="楷体_GB2312"/>
          <w:bCs/>
          <w:sz w:val="24"/>
        </w:rPr>
        <w:t>“</w:t>
      </w:r>
      <w:r>
        <w:rPr>
          <w:rFonts w:eastAsia="楷体_GB2312"/>
          <w:kern w:val="0"/>
          <w:sz w:val="24"/>
        </w:rPr>
        <w:t>优先B级资产支持证券</w:t>
      </w:r>
      <w:r>
        <w:rPr>
          <w:rFonts w:eastAsia="楷体_GB2312"/>
          <w:bCs/>
          <w:sz w:val="24"/>
        </w:rPr>
        <w:t>”均已全部</w:t>
      </w:r>
      <w:r>
        <w:rPr>
          <w:rFonts w:eastAsia="楷体_GB2312"/>
          <w:kern w:val="0"/>
          <w:sz w:val="24"/>
        </w:rPr>
        <w:t>清偿完毕，应以“次级资产支持证券持有人”组成的</w:t>
      </w:r>
      <w:r>
        <w:rPr>
          <w:rFonts w:eastAsia="楷体_GB2312"/>
          <w:bCs/>
          <w:sz w:val="24"/>
        </w:rPr>
        <w:t>“</w:t>
      </w:r>
      <w:r>
        <w:rPr>
          <w:rFonts w:eastAsia="楷体_GB2312"/>
          <w:kern w:val="0"/>
          <w:sz w:val="24"/>
        </w:rPr>
        <w:t>资产支持证券持有人大会</w:t>
      </w:r>
      <w:r>
        <w:rPr>
          <w:rFonts w:eastAsia="楷体_GB2312"/>
          <w:bCs/>
          <w:sz w:val="24"/>
        </w:rPr>
        <w:t>”</w:t>
      </w:r>
      <w:r>
        <w:rPr>
          <w:rFonts w:eastAsia="楷体_GB2312"/>
          <w:kern w:val="0"/>
          <w:sz w:val="24"/>
        </w:rPr>
        <w:t>的决议为准。其中，如果相关类别</w:t>
      </w:r>
      <w:r>
        <w:rPr>
          <w:rFonts w:eastAsia="楷体_GB2312"/>
          <w:bCs/>
          <w:sz w:val="24"/>
        </w:rPr>
        <w:t>“</w:t>
      </w:r>
      <w:r>
        <w:rPr>
          <w:rFonts w:eastAsia="楷体_GB2312"/>
          <w:kern w:val="0"/>
          <w:sz w:val="24"/>
        </w:rPr>
        <w:t>资产支持证券持有人大会</w:t>
      </w:r>
      <w:r>
        <w:rPr>
          <w:rFonts w:eastAsia="楷体_GB2312"/>
          <w:bCs/>
          <w:sz w:val="24"/>
        </w:rPr>
        <w:t>”</w:t>
      </w:r>
      <w:r>
        <w:rPr>
          <w:rFonts w:eastAsia="楷体_GB2312"/>
          <w:kern w:val="0"/>
          <w:sz w:val="24"/>
        </w:rPr>
        <w:t>没有就某一事项形成决议，则视为该类别</w:t>
      </w:r>
      <w:r>
        <w:rPr>
          <w:rFonts w:eastAsia="楷体_GB2312"/>
          <w:sz w:val="24"/>
        </w:rPr>
        <w:t>“</w:t>
      </w:r>
      <w:r>
        <w:rPr>
          <w:rFonts w:eastAsia="楷体_GB2312"/>
          <w:kern w:val="0"/>
          <w:sz w:val="24"/>
        </w:rPr>
        <w:t>资产支持证券持有人大会</w:t>
      </w:r>
      <w:r>
        <w:rPr>
          <w:rFonts w:eastAsia="楷体_GB2312"/>
          <w:sz w:val="24"/>
        </w:rPr>
        <w:t>”</w:t>
      </w:r>
      <w:r>
        <w:rPr>
          <w:rFonts w:eastAsia="楷体_GB2312"/>
          <w:kern w:val="0"/>
          <w:sz w:val="24"/>
        </w:rPr>
        <w:t>不同意其他类别的</w:t>
      </w:r>
      <w:r>
        <w:rPr>
          <w:rFonts w:eastAsia="楷体_GB2312"/>
          <w:sz w:val="24"/>
        </w:rPr>
        <w:t>“</w:t>
      </w:r>
      <w:r>
        <w:rPr>
          <w:rFonts w:eastAsia="楷体_GB2312"/>
          <w:kern w:val="0"/>
          <w:sz w:val="24"/>
        </w:rPr>
        <w:t>资产支持证券持有人大会</w:t>
      </w:r>
      <w:r>
        <w:rPr>
          <w:rFonts w:eastAsia="楷体_GB2312"/>
          <w:sz w:val="24"/>
        </w:rPr>
        <w:t>”就该事项形成的决议</w:t>
      </w:r>
      <w:r>
        <w:rPr>
          <w:rFonts w:eastAsia="楷体_GB2312"/>
          <w:kern w:val="0"/>
          <w:sz w:val="24"/>
        </w:rPr>
        <w:t>。</w:t>
      </w:r>
    </w:p>
    <w:p w14:paraId="419C1A21">
      <w:pPr>
        <w:spacing w:line="360" w:lineRule="auto"/>
        <w:ind w:left="992"/>
        <w:rPr>
          <w:rFonts w:eastAsia="楷体_GB2312"/>
          <w:color w:val="FF0000"/>
          <w:sz w:val="24"/>
        </w:rPr>
      </w:pPr>
      <w:bookmarkStart w:id="541" w:name="_Hlk221705160"/>
      <w:r>
        <w:rPr>
          <w:rFonts w:eastAsia="楷体_GB2312"/>
          <w:b/>
          <w:i/>
          <w:iCs/>
          <w:color w:val="FF0000"/>
          <w:sz w:val="24"/>
        </w:rPr>
        <w:t>【注：此处可根据资产支持证券分层情况进一步细分。】</w:t>
      </w:r>
      <w:bookmarkEnd w:id="541"/>
    </w:p>
    <w:p w14:paraId="1CA34061">
      <w:pPr>
        <w:numPr>
          <w:ilvl w:val="1"/>
          <w:numId w:val="4"/>
        </w:numPr>
        <w:tabs>
          <w:tab w:val="left" w:pos="992"/>
        </w:tabs>
        <w:spacing w:before="156" w:beforeLines="50" w:after="156" w:afterLines="50" w:line="360" w:lineRule="auto"/>
        <w:ind w:left="879" w:hanging="454"/>
        <w:outlineLvl w:val="1"/>
        <w:rPr>
          <w:rFonts w:eastAsia="楷体_GB2312"/>
          <w:b/>
          <w:kern w:val="0"/>
          <w:sz w:val="24"/>
        </w:rPr>
      </w:pPr>
      <w:bookmarkStart w:id="542" w:name="_Toc172736610"/>
      <w:bookmarkStart w:id="543" w:name="_Toc151554361"/>
      <w:bookmarkStart w:id="544" w:name="_Toc152168195"/>
      <w:bookmarkStart w:id="545" w:name="_Toc152168751"/>
      <w:r>
        <w:rPr>
          <w:rFonts w:eastAsia="楷体_GB2312"/>
          <w:b/>
          <w:kern w:val="0"/>
          <w:sz w:val="24"/>
        </w:rPr>
        <w:t>决议的执行</w:t>
      </w:r>
      <w:bookmarkEnd w:id="542"/>
    </w:p>
    <w:p w14:paraId="3DE97B4A">
      <w:pPr>
        <w:numPr>
          <w:ilvl w:val="2"/>
          <w:numId w:val="4"/>
        </w:numPr>
        <w:tabs>
          <w:tab w:val="left" w:pos="1701"/>
        </w:tabs>
        <w:spacing w:before="156" w:beforeLines="50" w:after="156" w:afterLines="50" w:line="360" w:lineRule="auto"/>
        <w:ind w:left="1843" w:hanging="851"/>
        <w:rPr>
          <w:rFonts w:eastAsia="楷体_GB2312"/>
          <w:kern w:val="0"/>
          <w:sz w:val="24"/>
        </w:rPr>
      </w:pPr>
      <w:bookmarkStart w:id="546" w:name="_Ref161653618"/>
      <w:bookmarkStart w:id="547" w:name="_Ref173767756"/>
      <w:r>
        <w:rPr>
          <w:rFonts w:eastAsia="楷体_GB2312"/>
          <w:kern w:val="0"/>
          <w:sz w:val="24"/>
        </w:rPr>
        <w:t>“</w:t>
      </w:r>
      <w:r>
        <w:rPr>
          <w:rFonts w:eastAsia="楷体_GB2312"/>
          <w:sz w:val="24"/>
        </w:rPr>
        <w:t>资</w:t>
      </w:r>
      <w:r>
        <w:rPr>
          <w:rFonts w:eastAsia="楷体_GB2312"/>
          <w:kern w:val="0"/>
          <w:sz w:val="24"/>
        </w:rPr>
        <w:t>产支持证券持有人大会”的决议，由“资产支持证券持有人大会”选任的人执行。</w:t>
      </w:r>
      <w:bookmarkEnd w:id="546"/>
      <w:r>
        <w:rPr>
          <w:rFonts w:eastAsia="楷体_GB2312"/>
          <w:kern w:val="0"/>
          <w:sz w:val="24"/>
        </w:rPr>
        <w:t>“资产支持证券持有人大会”可授权“受托人”执行“资产支持证券持有人大会”的决议。</w:t>
      </w:r>
      <w:bookmarkEnd w:id="547"/>
    </w:p>
    <w:p w14:paraId="412BAC9C">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kern w:val="0"/>
          <w:sz w:val="24"/>
        </w:rPr>
        <w:t>“资产支持证券持有人大会”选任的人，可代表“资产支持证券持有人”，为全体“资产支持证券持有人”利益进行有关“信托”的诉讼上或诉讼外的行为。</w:t>
      </w:r>
    </w:p>
    <w:p w14:paraId="4389B7A3">
      <w:pPr>
        <w:numPr>
          <w:ilvl w:val="2"/>
          <w:numId w:val="4"/>
        </w:numPr>
        <w:tabs>
          <w:tab w:val="left" w:pos="1701"/>
        </w:tabs>
        <w:spacing w:before="156" w:beforeLines="50" w:after="156" w:afterLines="50" w:line="360" w:lineRule="auto"/>
        <w:ind w:left="1843" w:hanging="851"/>
        <w:rPr>
          <w:rFonts w:eastAsia="楷体_GB2312"/>
          <w:b/>
          <w:kern w:val="0"/>
          <w:sz w:val="24"/>
        </w:rPr>
      </w:pPr>
      <w:r>
        <w:rPr>
          <w:rFonts w:eastAsia="楷体_GB2312"/>
          <w:kern w:val="0"/>
          <w:sz w:val="24"/>
        </w:rPr>
        <w:t>本合同第</w:t>
      </w:r>
      <w:r>
        <w:rPr>
          <w:rFonts w:eastAsia="楷体_GB2312"/>
          <w:sz w:val="24"/>
        </w:rPr>
        <w:fldChar w:fldCharType="begin"/>
      </w:r>
      <w:r>
        <w:rPr>
          <w:rFonts w:eastAsia="楷体_GB2312"/>
          <w:sz w:val="24"/>
        </w:rPr>
        <w:instrText xml:space="preserve"> REF _Ref173767756 \r \h  \* MERGEFORMAT </w:instrText>
      </w:r>
      <w:r>
        <w:rPr>
          <w:rFonts w:eastAsia="楷体_GB2312"/>
          <w:sz w:val="24"/>
        </w:rPr>
        <w:fldChar w:fldCharType="separate"/>
      </w:r>
      <w:r>
        <w:rPr>
          <w:rFonts w:eastAsia="楷体_GB2312"/>
          <w:kern w:val="0"/>
          <w:sz w:val="24"/>
        </w:rPr>
        <w:t>18.9.1</w:t>
      </w:r>
      <w:r>
        <w:rPr>
          <w:rFonts w:eastAsia="楷体_GB2312"/>
          <w:kern w:val="0"/>
          <w:sz w:val="24"/>
        </w:rPr>
        <w:fldChar w:fldCharType="end"/>
      </w:r>
      <w:r>
        <w:rPr>
          <w:rFonts w:eastAsia="楷体_GB2312"/>
          <w:kern w:val="0"/>
          <w:sz w:val="24"/>
        </w:rPr>
        <w:t>款所约定的由“资产支持证券持有人”选任的人，其权限、报酬、报酬之计算方法及支付时期等事项，应由“资产支持证券持有人大会”</w:t>
      </w:r>
      <w:r>
        <w:rPr>
          <w:rFonts w:eastAsia="楷体_GB2312"/>
          <w:sz w:val="24"/>
        </w:rPr>
        <w:t>于选任该等人选时一并予以决议。</w:t>
      </w:r>
    </w:p>
    <w:p w14:paraId="1556AF53">
      <w:pPr>
        <w:numPr>
          <w:ilvl w:val="1"/>
          <w:numId w:val="4"/>
        </w:numPr>
        <w:tabs>
          <w:tab w:val="left" w:pos="992"/>
        </w:tabs>
        <w:spacing w:before="156" w:beforeLines="50" w:after="156" w:afterLines="50" w:line="360" w:lineRule="auto"/>
        <w:ind w:left="879" w:hanging="454"/>
        <w:outlineLvl w:val="1"/>
        <w:rPr>
          <w:rFonts w:eastAsia="楷体_GB2312"/>
          <w:b/>
          <w:kern w:val="0"/>
          <w:sz w:val="24"/>
        </w:rPr>
      </w:pPr>
      <w:bookmarkStart w:id="548" w:name="_Toc172736611"/>
      <w:r>
        <w:rPr>
          <w:rFonts w:eastAsia="楷体_GB2312"/>
          <w:b/>
          <w:kern w:val="0"/>
          <w:sz w:val="24"/>
        </w:rPr>
        <w:t>会议记录</w:t>
      </w:r>
      <w:bookmarkEnd w:id="548"/>
    </w:p>
    <w:p w14:paraId="3990C517">
      <w:pPr>
        <w:spacing w:before="156" w:beforeLines="50" w:after="156" w:afterLines="50" w:line="360" w:lineRule="auto"/>
        <w:ind w:left="993"/>
        <w:rPr>
          <w:rFonts w:eastAsia="楷体_GB2312"/>
          <w:b/>
          <w:kern w:val="0"/>
          <w:sz w:val="24"/>
        </w:rPr>
      </w:pPr>
      <w:r>
        <w:rPr>
          <w:rFonts w:eastAsia="楷体_GB2312"/>
          <w:kern w:val="0"/>
          <w:sz w:val="24"/>
        </w:rPr>
        <w:t>“资产支持证券持有人大会”</w:t>
      </w:r>
      <w:r>
        <w:rPr>
          <w:rFonts w:eastAsia="楷体_GB2312"/>
          <w:sz w:val="24"/>
        </w:rPr>
        <w:t>应将决议作成会议记录，召集人、“受托人”应在会议记录上签署并盖章。会议记录、出席</w:t>
      </w:r>
      <w:r>
        <w:rPr>
          <w:rFonts w:eastAsia="楷体_GB2312"/>
          <w:kern w:val="0"/>
          <w:sz w:val="24"/>
        </w:rPr>
        <w:t>“资产支持证券持有人”</w:t>
      </w:r>
      <w:r>
        <w:rPr>
          <w:rFonts w:eastAsia="楷体_GB2312"/>
          <w:sz w:val="24"/>
        </w:rPr>
        <w:t>的签名册及代理出席的授权委托书应由“受托人”一并保存。</w:t>
      </w:r>
    </w:p>
    <w:p w14:paraId="01E5D734">
      <w:pPr>
        <w:numPr>
          <w:ilvl w:val="1"/>
          <w:numId w:val="4"/>
        </w:numPr>
        <w:tabs>
          <w:tab w:val="left" w:pos="992"/>
        </w:tabs>
        <w:spacing w:before="156" w:beforeLines="50" w:after="156" w:afterLines="50" w:line="360" w:lineRule="auto"/>
        <w:ind w:left="879" w:hanging="454"/>
        <w:outlineLvl w:val="1"/>
        <w:rPr>
          <w:rFonts w:eastAsia="楷体_GB2312"/>
          <w:b/>
          <w:kern w:val="0"/>
          <w:sz w:val="24"/>
        </w:rPr>
      </w:pPr>
      <w:bookmarkStart w:id="549" w:name="_Toc172736612"/>
      <w:r>
        <w:rPr>
          <w:rFonts w:eastAsia="楷体_GB2312"/>
          <w:b/>
          <w:kern w:val="0"/>
          <w:sz w:val="24"/>
        </w:rPr>
        <w:t>决议的备案与公告</w:t>
      </w:r>
      <w:bookmarkEnd w:id="543"/>
      <w:bookmarkEnd w:id="544"/>
      <w:bookmarkEnd w:id="545"/>
      <w:bookmarkEnd w:id="549"/>
    </w:p>
    <w:p w14:paraId="697DA32E">
      <w:pPr>
        <w:spacing w:before="156" w:beforeLines="50" w:after="156" w:afterLines="50" w:line="360" w:lineRule="auto"/>
        <w:ind w:left="1050"/>
        <w:rPr>
          <w:rFonts w:eastAsia="楷体_GB2312"/>
          <w:kern w:val="0"/>
          <w:sz w:val="24"/>
        </w:rPr>
      </w:pPr>
      <w:r>
        <w:rPr>
          <w:rFonts w:eastAsia="楷体_GB2312"/>
          <w:kern w:val="0"/>
          <w:sz w:val="24"/>
        </w:rPr>
        <w:t>对于“资产支持证券持有人大会”形成的决议，“受托人”应在“资产支持证券持有人大会”结束后【】</w:t>
      </w:r>
      <w:r>
        <w:rPr>
          <w:rFonts w:eastAsia="楷体_GB2312"/>
          <w:sz w:val="24"/>
        </w:rPr>
        <w:t>个“工作日”</w:t>
      </w:r>
      <w:r>
        <w:rPr>
          <w:rFonts w:eastAsia="楷体_GB2312"/>
          <w:kern w:val="0"/>
          <w:sz w:val="24"/>
        </w:rPr>
        <w:t>内报“人民银行”备案，并</w:t>
      </w:r>
      <w:r>
        <w:rPr>
          <w:rFonts w:hint="eastAsia" w:eastAsia="楷体_GB2312"/>
          <w:color w:val="000000"/>
          <w:sz w:val="24"/>
        </w:rPr>
        <w:t>通过</w:t>
      </w:r>
      <w:r>
        <w:rPr>
          <w:rFonts w:eastAsia="楷体_GB2312"/>
          <w:color w:val="000000"/>
          <w:sz w:val="24"/>
        </w:rPr>
        <w:t>“交易商协会”综合业务和信息服务平台、中国货币网、中国债券信息网、“北金所”官方网站及“交易商协会”认可的其他方式</w:t>
      </w:r>
      <w:r>
        <w:rPr>
          <w:rFonts w:eastAsia="楷体_GB2312"/>
          <w:kern w:val="0"/>
          <w:sz w:val="24"/>
        </w:rPr>
        <w:t>予以公告。</w:t>
      </w:r>
    </w:p>
    <w:p w14:paraId="13EA0BE2">
      <w:pPr>
        <w:spacing w:before="156" w:beforeLines="50" w:after="156" w:afterLines="50" w:line="360" w:lineRule="auto"/>
        <w:ind w:left="992"/>
        <w:rPr>
          <w:rFonts w:eastAsia="楷体_GB2312"/>
          <w:b/>
          <w:i/>
          <w:color w:val="FF0000"/>
          <w:kern w:val="0"/>
          <w:sz w:val="24"/>
        </w:rPr>
      </w:pPr>
      <w:r>
        <w:rPr>
          <w:rFonts w:eastAsia="楷体_GB2312"/>
          <w:b/>
          <w:i/>
          <w:color w:val="FF0000"/>
          <w:kern w:val="0"/>
          <w:sz w:val="24"/>
        </w:rPr>
        <w:t>【注：资产支持证券持有人大会形成的决议的备案和信息披露方式应以届时适用的最新法规和信息披露规则的规定为准。】</w:t>
      </w:r>
    </w:p>
    <w:bookmarkEnd w:id="520"/>
    <w:p w14:paraId="14D6A45D">
      <w:pPr>
        <w:numPr>
          <w:ilvl w:val="0"/>
          <w:numId w:val="4"/>
        </w:numPr>
        <w:spacing w:before="156" w:beforeLines="50" w:after="156" w:afterLines="50" w:line="360" w:lineRule="auto"/>
        <w:outlineLvl w:val="0"/>
        <w:rPr>
          <w:rFonts w:eastAsia="楷体_GB2312"/>
          <w:b/>
          <w:sz w:val="24"/>
        </w:rPr>
      </w:pPr>
      <w:bookmarkStart w:id="550" w:name="_Toc120277520"/>
      <w:bookmarkEnd w:id="550"/>
      <w:bookmarkStart w:id="551" w:name="_Toc120275182"/>
      <w:bookmarkEnd w:id="551"/>
      <w:bookmarkStart w:id="552" w:name="_Toc120276586"/>
      <w:bookmarkEnd w:id="552"/>
      <w:bookmarkStart w:id="553" w:name="_Toc120277266"/>
      <w:bookmarkEnd w:id="553"/>
      <w:bookmarkStart w:id="554" w:name="_Toc120277521"/>
      <w:bookmarkEnd w:id="554"/>
      <w:bookmarkStart w:id="555" w:name="_Toc120276585"/>
      <w:bookmarkEnd w:id="555"/>
      <w:bookmarkStart w:id="556" w:name="_Toc120277265"/>
      <w:bookmarkEnd w:id="556"/>
      <w:bookmarkStart w:id="557" w:name="_Toc120277355"/>
      <w:bookmarkEnd w:id="557"/>
      <w:bookmarkStart w:id="558" w:name="_Toc120275183"/>
      <w:bookmarkEnd w:id="558"/>
      <w:bookmarkStart w:id="559" w:name="_Toc120277354"/>
      <w:bookmarkEnd w:id="559"/>
      <w:bookmarkStart w:id="560" w:name="_Toc120149140"/>
      <w:bookmarkEnd w:id="560"/>
      <w:bookmarkStart w:id="561" w:name="_Toc110153465"/>
      <w:bookmarkStart w:id="562" w:name="_Toc111281839"/>
      <w:bookmarkStart w:id="563" w:name="_Toc402883949"/>
      <w:bookmarkStart w:id="564" w:name="_Toc221382863"/>
      <w:r>
        <w:rPr>
          <w:rFonts w:eastAsia="楷体_GB2312"/>
          <w:b/>
          <w:sz w:val="24"/>
        </w:rPr>
        <w:t>审计</w:t>
      </w:r>
      <w:bookmarkStart w:id="565" w:name="_Toc92612946"/>
      <w:r>
        <w:rPr>
          <w:rFonts w:eastAsia="楷体_GB2312"/>
          <w:b/>
          <w:sz w:val="24"/>
        </w:rPr>
        <w:t>监督</w:t>
      </w:r>
      <w:bookmarkEnd w:id="561"/>
      <w:r>
        <w:rPr>
          <w:rFonts w:eastAsia="楷体_GB2312"/>
          <w:b/>
          <w:sz w:val="24"/>
        </w:rPr>
        <w:t>和跟踪评级</w:t>
      </w:r>
      <w:bookmarkEnd w:id="562"/>
      <w:bookmarkEnd w:id="563"/>
      <w:bookmarkEnd w:id="564"/>
    </w:p>
    <w:bookmarkEnd w:id="565"/>
    <w:p w14:paraId="096C2D4D">
      <w:pPr>
        <w:numPr>
          <w:ilvl w:val="1"/>
          <w:numId w:val="4"/>
        </w:numPr>
        <w:tabs>
          <w:tab w:val="left" w:pos="992"/>
        </w:tabs>
        <w:spacing w:before="156" w:beforeLines="50" w:after="156" w:afterLines="50" w:line="360" w:lineRule="auto"/>
        <w:ind w:left="992" w:hanging="567"/>
        <w:outlineLvl w:val="1"/>
        <w:rPr>
          <w:rFonts w:eastAsia="楷体_GB2312"/>
          <w:sz w:val="24"/>
        </w:rPr>
      </w:pPr>
      <w:r>
        <w:rPr>
          <w:rFonts w:eastAsia="楷体_GB2312"/>
          <w:sz w:val="24"/>
        </w:rPr>
        <w:t>“</w:t>
      </w:r>
      <w:r>
        <w:rPr>
          <w:rFonts w:eastAsia="楷体_GB2312"/>
          <w:kern w:val="0"/>
          <w:sz w:val="24"/>
        </w:rPr>
        <w:t>受托人</w:t>
      </w:r>
      <w:r>
        <w:rPr>
          <w:rFonts w:eastAsia="楷体_GB2312"/>
          <w:sz w:val="24"/>
        </w:rPr>
        <w:t>”</w:t>
      </w:r>
      <w:r>
        <w:rPr>
          <w:rFonts w:eastAsia="楷体_GB2312"/>
          <w:kern w:val="0"/>
          <w:sz w:val="24"/>
        </w:rPr>
        <w:t>应制作管理</w:t>
      </w:r>
      <w:r>
        <w:rPr>
          <w:rFonts w:eastAsia="楷体_GB2312"/>
          <w:sz w:val="24"/>
        </w:rPr>
        <w:t>“</w:t>
      </w:r>
      <w:r>
        <w:rPr>
          <w:rFonts w:eastAsia="楷体_GB2312"/>
          <w:kern w:val="0"/>
          <w:sz w:val="24"/>
        </w:rPr>
        <w:t>信托</w:t>
      </w:r>
      <w:r>
        <w:rPr>
          <w:rFonts w:eastAsia="楷体_GB2312"/>
          <w:sz w:val="24"/>
        </w:rPr>
        <w:t>”</w:t>
      </w:r>
      <w:r>
        <w:rPr>
          <w:rFonts w:eastAsia="楷体_GB2312"/>
          <w:kern w:val="0"/>
          <w:sz w:val="24"/>
        </w:rPr>
        <w:t>项下事务的年度报告，该年度报告应经“审计师”审计，并由</w:t>
      </w:r>
      <w:r>
        <w:rPr>
          <w:rFonts w:eastAsia="楷体_GB2312"/>
          <w:sz w:val="24"/>
        </w:rPr>
        <w:t>“</w:t>
      </w:r>
      <w:r>
        <w:rPr>
          <w:rFonts w:eastAsia="楷体_GB2312"/>
          <w:kern w:val="0"/>
          <w:sz w:val="24"/>
        </w:rPr>
        <w:t>受托人</w:t>
      </w:r>
      <w:r>
        <w:rPr>
          <w:rFonts w:eastAsia="楷体_GB2312"/>
          <w:sz w:val="24"/>
        </w:rPr>
        <w:t>”</w:t>
      </w:r>
      <w:r>
        <w:rPr>
          <w:rFonts w:eastAsia="楷体_GB2312"/>
          <w:kern w:val="0"/>
          <w:sz w:val="24"/>
        </w:rPr>
        <w:t>披露审计报告。为出具该年度审计报告，“审计师”有权查阅、审计</w:t>
      </w:r>
      <w:r>
        <w:rPr>
          <w:rFonts w:eastAsia="楷体_GB2312"/>
          <w:sz w:val="24"/>
        </w:rPr>
        <w:t>“</w:t>
      </w:r>
      <w:r>
        <w:rPr>
          <w:rFonts w:eastAsia="楷体_GB2312"/>
          <w:kern w:val="0"/>
          <w:sz w:val="24"/>
        </w:rPr>
        <w:t>贷款服务机构</w:t>
      </w:r>
      <w:r>
        <w:rPr>
          <w:rFonts w:eastAsia="楷体_GB2312"/>
          <w:sz w:val="24"/>
        </w:rPr>
        <w:t>”</w:t>
      </w:r>
      <w:r>
        <w:rPr>
          <w:rFonts w:eastAsia="楷体_GB2312"/>
          <w:kern w:val="0"/>
          <w:sz w:val="24"/>
        </w:rPr>
        <w:t>、</w:t>
      </w:r>
      <w:r>
        <w:rPr>
          <w:rFonts w:eastAsia="楷体_GB2312"/>
          <w:sz w:val="24"/>
        </w:rPr>
        <w:t>“</w:t>
      </w:r>
      <w:r>
        <w:rPr>
          <w:rFonts w:eastAsia="楷体_GB2312"/>
          <w:kern w:val="0"/>
          <w:sz w:val="24"/>
        </w:rPr>
        <w:t>资金保管机构</w:t>
      </w:r>
      <w:r>
        <w:rPr>
          <w:rFonts w:eastAsia="楷体_GB2312"/>
          <w:sz w:val="24"/>
        </w:rPr>
        <w:t>”</w:t>
      </w:r>
      <w:r>
        <w:rPr>
          <w:rFonts w:eastAsia="楷体_GB2312"/>
          <w:kern w:val="0"/>
          <w:sz w:val="24"/>
        </w:rPr>
        <w:t>的相关账目、文件等与该信托相关的资料；</w:t>
      </w:r>
      <w:r>
        <w:rPr>
          <w:rFonts w:eastAsia="楷体_GB2312"/>
          <w:sz w:val="24"/>
        </w:rPr>
        <w:t>“</w:t>
      </w:r>
      <w:r>
        <w:rPr>
          <w:rFonts w:eastAsia="楷体_GB2312"/>
          <w:kern w:val="0"/>
          <w:sz w:val="24"/>
        </w:rPr>
        <w:t>贷款服务机构</w:t>
      </w:r>
      <w:r>
        <w:rPr>
          <w:rFonts w:eastAsia="楷体_GB2312"/>
          <w:sz w:val="24"/>
        </w:rPr>
        <w:t>”</w:t>
      </w:r>
      <w:r>
        <w:rPr>
          <w:rFonts w:eastAsia="楷体_GB2312"/>
          <w:kern w:val="0"/>
          <w:sz w:val="24"/>
        </w:rPr>
        <w:t>、</w:t>
      </w:r>
      <w:r>
        <w:rPr>
          <w:rFonts w:eastAsia="楷体_GB2312"/>
          <w:sz w:val="24"/>
        </w:rPr>
        <w:t>“</w:t>
      </w:r>
      <w:r>
        <w:rPr>
          <w:rFonts w:eastAsia="楷体_GB2312"/>
          <w:kern w:val="0"/>
          <w:sz w:val="24"/>
        </w:rPr>
        <w:t>资金保管机构</w:t>
      </w:r>
      <w:r>
        <w:rPr>
          <w:rFonts w:eastAsia="楷体_GB2312"/>
          <w:sz w:val="24"/>
        </w:rPr>
        <w:t>”</w:t>
      </w:r>
      <w:r>
        <w:rPr>
          <w:rFonts w:eastAsia="楷体_GB2312"/>
          <w:kern w:val="0"/>
          <w:sz w:val="24"/>
        </w:rPr>
        <w:t>应</w:t>
      </w:r>
      <w:r>
        <w:rPr>
          <w:rFonts w:hint="eastAsia" w:eastAsia="楷体_GB2312"/>
          <w:kern w:val="0"/>
          <w:sz w:val="24"/>
        </w:rPr>
        <w:t>给予</w:t>
      </w:r>
      <w:r>
        <w:rPr>
          <w:rFonts w:eastAsia="楷体_GB2312"/>
          <w:kern w:val="0"/>
          <w:sz w:val="24"/>
        </w:rPr>
        <w:t>配合。</w:t>
      </w:r>
    </w:p>
    <w:p w14:paraId="16128837">
      <w:pPr>
        <w:numPr>
          <w:ilvl w:val="1"/>
          <w:numId w:val="4"/>
        </w:numPr>
        <w:tabs>
          <w:tab w:val="left" w:pos="992"/>
        </w:tabs>
        <w:spacing w:before="156" w:beforeLines="50" w:after="156" w:afterLines="50" w:line="360" w:lineRule="auto"/>
        <w:ind w:left="992" w:hanging="567"/>
        <w:outlineLvl w:val="1"/>
        <w:rPr>
          <w:rFonts w:eastAsia="楷体_GB2312"/>
          <w:sz w:val="24"/>
        </w:rPr>
      </w:pPr>
      <w:r>
        <w:rPr>
          <w:rFonts w:eastAsia="楷体_GB2312"/>
          <w:sz w:val="24"/>
        </w:rPr>
        <w:t>“</w:t>
      </w:r>
      <w:r>
        <w:rPr>
          <w:rFonts w:eastAsia="楷体_GB2312"/>
          <w:kern w:val="0"/>
          <w:sz w:val="24"/>
        </w:rPr>
        <w:t>受托</w:t>
      </w:r>
      <w:r>
        <w:rPr>
          <w:rFonts w:eastAsia="楷体_GB2312"/>
          <w:sz w:val="24"/>
        </w:rPr>
        <w:t>人”应委托</w:t>
      </w:r>
      <w:r>
        <w:rPr>
          <w:rFonts w:eastAsia="楷体_GB2312"/>
          <w:kern w:val="0"/>
          <w:sz w:val="24"/>
        </w:rPr>
        <w:t>“评级机构”</w:t>
      </w:r>
      <w:r>
        <w:rPr>
          <w:rFonts w:eastAsia="楷体_GB2312"/>
          <w:sz w:val="24"/>
        </w:rPr>
        <w:t>在</w:t>
      </w:r>
      <w:r>
        <w:rPr>
          <w:rFonts w:eastAsia="楷体_GB2312"/>
          <w:bCs/>
          <w:sz w:val="24"/>
        </w:rPr>
        <w:t>“优先级</w:t>
      </w:r>
      <w:r>
        <w:rPr>
          <w:rFonts w:eastAsia="楷体_GB2312"/>
          <w:sz w:val="24"/>
        </w:rPr>
        <w:t>资产支持证券</w:t>
      </w:r>
      <w:r>
        <w:rPr>
          <w:rFonts w:eastAsia="楷体_GB2312"/>
          <w:bCs/>
          <w:sz w:val="24"/>
        </w:rPr>
        <w:t>”</w:t>
      </w:r>
      <w:r>
        <w:rPr>
          <w:rFonts w:eastAsia="楷体_GB2312"/>
          <w:sz w:val="24"/>
        </w:rPr>
        <w:t>存续期间内对“信托”项下“优先级资产支持证券”进行持续跟踪评级，并每年出具跟踪评级报告。</w:t>
      </w:r>
    </w:p>
    <w:p w14:paraId="60006405">
      <w:pPr>
        <w:numPr>
          <w:ilvl w:val="0"/>
          <w:numId w:val="4"/>
        </w:numPr>
        <w:spacing w:before="156" w:beforeLines="50" w:after="156" w:afterLines="50" w:line="360" w:lineRule="auto"/>
        <w:outlineLvl w:val="0"/>
        <w:rPr>
          <w:rFonts w:eastAsia="楷体_GB2312"/>
          <w:b/>
          <w:sz w:val="24"/>
        </w:rPr>
      </w:pPr>
      <w:bookmarkStart w:id="566" w:name="_Toc111281840"/>
      <w:bookmarkStart w:id="567" w:name="_Toc110153466"/>
      <w:bookmarkStart w:id="568" w:name="_Toc221382864"/>
      <w:bookmarkStart w:id="569" w:name="_Toc402883950"/>
      <w:r>
        <w:rPr>
          <w:rFonts w:eastAsia="楷体_GB2312"/>
          <w:b/>
          <w:sz w:val="24"/>
        </w:rPr>
        <w:t>风险</w:t>
      </w:r>
      <w:bookmarkStart w:id="570" w:name="_Toc92612947"/>
      <w:r>
        <w:rPr>
          <w:rFonts w:eastAsia="楷体_GB2312"/>
          <w:b/>
          <w:sz w:val="24"/>
        </w:rPr>
        <w:t>承担</w:t>
      </w:r>
      <w:bookmarkEnd w:id="566"/>
      <w:bookmarkEnd w:id="567"/>
      <w:bookmarkEnd w:id="568"/>
      <w:bookmarkEnd w:id="569"/>
    </w:p>
    <w:bookmarkEnd w:id="570"/>
    <w:p w14:paraId="0A09FCF2">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71" w:name="_Toc111281841"/>
      <w:bookmarkStart w:id="572" w:name="_Toc110153467"/>
      <w:r>
        <w:rPr>
          <w:rFonts w:eastAsia="楷体_GB2312"/>
          <w:b/>
          <w:sz w:val="24"/>
        </w:rPr>
        <w:t>风险</w:t>
      </w:r>
      <w:bookmarkStart w:id="573" w:name="_Toc92612948"/>
      <w:r>
        <w:rPr>
          <w:rFonts w:eastAsia="楷体_GB2312"/>
          <w:b/>
          <w:sz w:val="24"/>
        </w:rPr>
        <w:t>承担</w:t>
      </w:r>
      <w:bookmarkEnd w:id="571"/>
      <w:bookmarkEnd w:id="572"/>
      <w:r>
        <w:rPr>
          <w:rFonts w:eastAsia="楷体_GB2312"/>
          <w:b/>
          <w:sz w:val="24"/>
        </w:rPr>
        <w:t>的基本原则</w:t>
      </w:r>
    </w:p>
    <w:bookmarkEnd w:id="573"/>
    <w:p w14:paraId="3C397D52">
      <w:pPr>
        <w:spacing w:before="156" w:beforeLines="50" w:after="156" w:afterLines="50" w:line="360" w:lineRule="auto"/>
        <w:ind w:left="992"/>
        <w:rPr>
          <w:rFonts w:eastAsia="楷体_GB2312"/>
          <w:b/>
          <w:sz w:val="24"/>
        </w:rPr>
      </w:pPr>
      <w:r>
        <w:rPr>
          <w:rFonts w:eastAsia="楷体_GB2312"/>
          <w:bCs/>
          <w:sz w:val="24"/>
        </w:rPr>
        <w:t>在</w:t>
      </w:r>
      <w:r>
        <w:rPr>
          <w:rFonts w:eastAsia="楷体_GB2312"/>
          <w:sz w:val="24"/>
        </w:rPr>
        <w:t>“</w:t>
      </w:r>
      <w:r>
        <w:rPr>
          <w:rFonts w:eastAsia="楷体_GB2312"/>
          <w:bCs/>
          <w:sz w:val="24"/>
        </w:rPr>
        <w:t>受托人</w:t>
      </w:r>
      <w:r>
        <w:rPr>
          <w:rFonts w:eastAsia="楷体_GB2312"/>
          <w:sz w:val="24"/>
        </w:rPr>
        <w:t>”</w:t>
      </w:r>
      <w:r>
        <w:rPr>
          <w:rFonts w:eastAsia="楷体_GB2312"/>
          <w:bCs/>
          <w:sz w:val="24"/>
        </w:rPr>
        <w:t>履行了所适用的“中国”“法律”规定和本合同约定的职责和义务的情况下，因管理信托事务中所产生的后果和风险，由</w:t>
      </w:r>
      <w:r>
        <w:rPr>
          <w:rFonts w:eastAsia="楷体_GB2312"/>
          <w:sz w:val="24"/>
        </w:rPr>
        <w:t>“</w:t>
      </w:r>
      <w:r>
        <w:rPr>
          <w:rFonts w:eastAsia="楷体_GB2312"/>
          <w:bCs/>
          <w:sz w:val="24"/>
        </w:rPr>
        <w:t>信托财产</w:t>
      </w:r>
      <w:r>
        <w:rPr>
          <w:rFonts w:eastAsia="楷体_GB2312"/>
          <w:sz w:val="24"/>
        </w:rPr>
        <w:t>”</w:t>
      </w:r>
      <w:r>
        <w:rPr>
          <w:rFonts w:eastAsia="楷体_GB2312"/>
          <w:bCs/>
          <w:sz w:val="24"/>
        </w:rPr>
        <w:t>承担。</w:t>
      </w:r>
    </w:p>
    <w:p w14:paraId="04898F7B">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74" w:name="_Toc111281842"/>
      <w:bookmarkStart w:id="575" w:name="_Toc110153468"/>
      <w:r>
        <w:rPr>
          <w:rFonts w:eastAsia="楷体_GB2312"/>
          <w:b/>
          <w:sz w:val="24"/>
        </w:rPr>
        <w:t>受托</w:t>
      </w:r>
      <w:bookmarkStart w:id="576" w:name="_Toc92612949"/>
      <w:r>
        <w:rPr>
          <w:rFonts w:eastAsia="楷体_GB2312"/>
          <w:b/>
          <w:sz w:val="24"/>
        </w:rPr>
        <w:t>人的赔偿责任</w:t>
      </w:r>
      <w:bookmarkEnd w:id="574"/>
      <w:bookmarkEnd w:id="575"/>
    </w:p>
    <w:bookmarkEnd w:id="576"/>
    <w:p w14:paraId="2C52093F">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w:t>
      </w:r>
      <w:r>
        <w:rPr>
          <w:rFonts w:eastAsia="楷体_GB2312"/>
          <w:kern w:val="0"/>
          <w:sz w:val="24"/>
        </w:rPr>
        <w:t>受托</w:t>
      </w:r>
      <w:r>
        <w:rPr>
          <w:rFonts w:eastAsia="楷体_GB2312"/>
          <w:sz w:val="24"/>
        </w:rPr>
        <w:t>人”违反信托目的管理、处分“信托财产”或者管理、处分“信托财产”有重大过失致使“信托财产”遭受损失的，应对“信托财产”予以赔偿。</w:t>
      </w:r>
    </w:p>
    <w:p w14:paraId="62398C21">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“受托人”采取本合同约定之外的方式对“信托财产”的运用、处分所产生</w:t>
      </w:r>
      <w:r>
        <w:rPr>
          <w:rFonts w:eastAsia="楷体_GB2312"/>
          <w:kern w:val="0"/>
          <w:sz w:val="24"/>
        </w:rPr>
        <w:t>“信托财产收益”</w:t>
      </w:r>
      <w:r>
        <w:rPr>
          <w:rFonts w:eastAsia="楷体_GB2312"/>
          <w:sz w:val="24"/>
        </w:rPr>
        <w:t>，属于“信托财产”的一部分；由此给“信托财产”造成损失的，“受托人”应以其固有财产承担赔偿责任，但经“资产支持证券持有人大会”同意的除外。</w:t>
      </w:r>
    </w:p>
    <w:p w14:paraId="54C1AA73">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77" w:name="_Toc112069008"/>
      <w:bookmarkEnd w:id="577"/>
      <w:bookmarkStart w:id="578" w:name="_Toc112069007"/>
      <w:bookmarkEnd w:id="578"/>
      <w:bookmarkStart w:id="579" w:name="_Toc111281843"/>
      <w:r>
        <w:rPr>
          <w:rFonts w:eastAsia="楷体_GB2312"/>
          <w:b/>
          <w:sz w:val="24"/>
        </w:rPr>
        <w:t>受托人的免责</w:t>
      </w:r>
      <w:bookmarkEnd w:id="579"/>
    </w:p>
    <w:p w14:paraId="24B4DD2A">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sz w:val="24"/>
        </w:rPr>
        <w:t>“受托</w:t>
      </w:r>
      <w:r>
        <w:rPr>
          <w:rFonts w:eastAsia="楷体_GB2312"/>
          <w:kern w:val="0"/>
          <w:sz w:val="24"/>
        </w:rPr>
        <w:t>人”承诺履行并仅履行“中国”“法律”和本合同明确约定的职责和义务，“受托人”不承担任何默示的承诺或者义务。</w:t>
      </w:r>
    </w:p>
    <w:p w14:paraId="49955080">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kern w:val="0"/>
          <w:sz w:val="24"/>
        </w:rPr>
        <w:t>在“受托人”合理审慎地管理信托事务且不存在故意、欺诈或者重大过失的情形下，所发生的全部损失由“信托财产”承担，“受托人”对“信托财产”发生的损失不承担责任。</w:t>
      </w:r>
    </w:p>
    <w:p w14:paraId="003E19D8">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kern w:val="0"/>
          <w:sz w:val="24"/>
        </w:rPr>
        <w:t>“受托人”承担以“信托财产”为限并按照本合同约定向“资产支持证券持有人”支付“信托利益”的义务，对“信托利益”不作任何保证或担保；“资产支持证券”仅代表特定目的信托受益权的相应份额，不构成“受托人”的负债；“资产支持证券持有人”的追索权仅限于“信托财产”。</w:t>
      </w:r>
    </w:p>
    <w:p w14:paraId="697210B0">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kern w:val="0"/>
          <w:sz w:val="24"/>
        </w:rPr>
        <w:t>“受托人”完全信赖各专业机构会以专业的谨慎与注意履行其义务，并可依赖其提供的任何书面的证明、报告或者意见和/或者在相关文件中的陈述与保证的真实、准确与完整，除非存在完全与充分的相反证据。</w:t>
      </w:r>
    </w:p>
    <w:p w14:paraId="57F729FF">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kern w:val="0"/>
          <w:sz w:val="24"/>
        </w:rPr>
        <w:t>“受托人”可向具有相应资质的专门顾问进行咨询，专门顾问向其提交的建议或书面意见，应视为“受托人”有根据该等建议或意见而作为或不作为的充分和完整的授权，“受托人”该等善意且不存在故意、欺诈或者重大过失，</w:t>
      </w:r>
      <w:r>
        <w:rPr>
          <w:rFonts w:eastAsia="楷体_GB2312"/>
          <w:sz w:val="24"/>
        </w:rPr>
        <w:t>将受到保护。</w:t>
      </w:r>
    </w:p>
    <w:p w14:paraId="4012FFB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80" w:name="_Toc111281844"/>
      <w:r>
        <w:rPr>
          <w:rFonts w:eastAsia="楷体_GB2312"/>
          <w:b/>
          <w:sz w:val="24"/>
        </w:rPr>
        <w:t>委托人的免责</w:t>
      </w:r>
      <w:bookmarkEnd w:id="580"/>
    </w:p>
    <w:p w14:paraId="33E9E947">
      <w:pPr>
        <w:numPr>
          <w:ilvl w:val="2"/>
          <w:numId w:val="4"/>
        </w:numPr>
        <w:tabs>
          <w:tab w:val="left" w:pos="1701"/>
        </w:tabs>
        <w:spacing w:before="156" w:beforeLines="50" w:after="156" w:afterLines="50" w:line="360" w:lineRule="auto"/>
        <w:ind w:left="1843" w:hanging="851"/>
        <w:rPr>
          <w:rFonts w:eastAsia="楷体_GB2312"/>
          <w:kern w:val="0"/>
          <w:sz w:val="24"/>
        </w:rPr>
      </w:pPr>
      <w:r>
        <w:rPr>
          <w:rFonts w:eastAsia="楷体_GB2312"/>
          <w:sz w:val="24"/>
        </w:rPr>
        <w:t>除所适用的“</w:t>
      </w:r>
      <w:r>
        <w:rPr>
          <w:rFonts w:eastAsia="楷体_GB2312"/>
          <w:kern w:val="0"/>
          <w:sz w:val="24"/>
        </w:rPr>
        <w:t>中国”“法律”另有规定外，“委托人”承诺履行并仅履行本合同明确约定的职责，“委托人”不承担任何默示的承诺或者义务，并不作出任何进一步的陈述与保证。</w:t>
      </w:r>
    </w:p>
    <w:p w14:paraId="2FA706AF">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kern w:val="0"/>
          <w:sz w:val="24"/>
        </w:rPr>
        <w:t>“委托人”对“资产支持证券”的收益不作任何保证或担保。“资产支持证券”仅代表特定</w:t>
      </w:r>
      <w:r>
        <w:rPr>
          <w:rFonts w:eastAsia="楷体_GB2312"/>
          <w:sz w:val="24"/>
        </w:rPr>
        <w:t>目的信托受益权的相应份额，不构成“委托人”对“资产支持证券持有人”的负债。</w:t>
      </w:r>
    </w:p>
    <w:p w14:paraId="35B842C3">
      <w:pPr>
        <w:numPr>
          <w:ilvl w:val="0"/>
          <w:numId w:val="4"/>
        </w:numPr>
        <w:spacing w:before="156" w:beforeLines="50" w:after="156" w:afterLines="50" w:line="360" w:lineRule="auto"/>
        <w:outlineLvl w:val="0"/>
        <w:rPr>
          <w:rFonts w:eastAsia="楷体_GB2312"/>
          <w:b/>
          <w:sz w:val="24"/>
        </w:rPr>
      </w:pPr>
      <w:bookmarkStart w:id="581" w:name="_Toc111281845"/>
      <w:bookmarkStart w:id="582" w:name="_Ref337650099"/>
      <w:bookmarkStart w:id="583" w:name="_Toc110153469"/>
      <w:bookmarkStart w:id="584" w:name="_Toc221382865"/>
      <w:bookmarkStart w:id="585" w:name="_Ref173768358"/>
      <w:bookmarkStart w:id="586" w:name="_Toc402883951"/>
      <w:r>
        <w:rPr>
          <w:rFonts w:eastAsia="楷体_GB2312"/>
          <w:b/>
          <w:sz w:val="24"/>
        </w:rPr>
        <w:t>信息</w:t>
      </w:r>
      <w:bookmarkStart w:id="587" w:name="_Toc92612950"/>
      <w:r>
        <w:rPr>
          <w:rFonts w:eastAsia="楷体_GB2312"/>
          <w:b/>
          <w:sz w:val="24"/>
        </w:rPr>
        <w:t>披露</w:t>
      </w:r>
      <w:bookmarkEnd w:id="581"/>
      <w:bookmarkEnd w:id="582"/>
      <w:bookmarkEnd w:id="583"/>
      <w:bookmarkEnd w:id="584"/>
      <w:bookmarkEnd w:id="585"/>
      <w:bookmarkEnd w:id="586"/>
    </w:p>
    <w:p w14:paraId="78E60ED9">
      <w:pPr>
        <w:pStyle w:val="42"/>
        <w:tabs>
          <w:tab w:val="left" w:pos="425"/>
        </w:tabs>
        <w:spacing w:before="156" w:beforeLines="50" w:after="156" w:afterLines="50" w:line="360" w:lineRule="auto"/>
        <w:ind w:left="425" w:firstLine="0" w:firstLineChars="0"/>
        <w:outlineLvl w:val="0"/>
        <w:rPr>
          <w:rFonts w:eastAsia="楷体_GB2312"/>
          <w:b/>
          <w:bCs/>
          <w:i/>
          <w:iCs/>
          <w:color w:val="FF0000"/>
          <w:sz w:val="24"/>
        </w:rPr>
      </w:pPr>
      <w:r>
        <w:rPr>
          <w:rFonts w:eastAsia="楷体_GB2312"/>
          <w:b/>
          <w:bCs/>
          <w:i/>
          <w:iCs/>
          <w:color w:val="FF0000"/>
          <w:sz w:val="24"/>
        </w:rPr>
        <w:t>【注：对信息披露方式的约定应根据届时适用的信息披露规则进行调整。】</w:t>
      </w:r>
    </w:p>
    <w:bookmarkEnd w:id="587"/>
    <w:p w14:paraId="2CD49D22">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88" w:name="_Toc111281846"/>
      <w:bookmarkStart w:id="589" w:name="_Toc110153470"/>
      <w:r>
        <w:rPr>
          <w:rFonts w:eastAsia="楷体_GB2312"/>
          <w:b/>
          <w:sz w:val="24"/>
        </w:rPr>
        <w:t>信息</w:t>
      </w:r>
      <w:bookmarkStart w:id="590" w:name="_Toc92612951"/>
      <w:r>
        <w:rPr>
          <w:rFonts w:eastAsia="楷体_GB2312"/>
          <w:b/>
          <w:sz w:val="24"/>
        </w:rPr>
        <w:t>披露文件</w:t>
      </w:r>
      <w:bookmarkEnd w:id="588"/>
      <w:bookmarkEnd w:id="589"/>
    </w:p>
    <w:bookmarkEnd w:id="590"/>
    <w:p w14:paraId="739CF664">
      <w:pPr>
        <w:tabs>
          <w:tab w:val="left" w:pos="1800"/>
          <w:tab w:val="left" w:pos="1980"/>
        </w:tabs>
        <w:spacing w:before="156" w:beforeLines="50" w:after="156" w:afterLines="50" w:line="360" w:lineRule="auto"/>
        <w:ind w:left="992"/>
        <w:rPr>
          <w:rFonts w:eastAsia="楷体_GB2312"/>
          <w:b/>
          <w:sz w:val="24"/>
        </w:rPr>
      </w:pPr>
      <w:r>
        <w:rPr>
          <w:rFonts w:eastAsia="楷体_GB2312"/>
          <w:sz w:val="24"/>
        </w:rPr>
        <w:t>“受托人”通过“受托机构报告”（格式见本合同</w:t>
      </w:r>
      <w:r>
        <w:rPr>
          <w:rFonts w:eastAsia="楷体_GB2312"/>
          <w:b/>
          <w:i/>
          <w:sz w:val="24"/>
        </w:rPr>
        <w:t>附件十</w:t>
      </w:r>
      <w:r>
        <w:rPr>
          <w:rFonts w:eastAsia="楷体_GB2312"/>
          <w:sz w:val="24"/>
        </w:rPr>
        <w:t>）、《资产支持证券评级报告》、《信托事务清算报告》和“受托人”认为需要披露的其他报告的方式进行信息披露。“资产支持证券持有人”通过前述方式了解</w:t>
      </w:r>
      <w:r>
        <w:rPr>
          <w:rFonts w:eastAsia="楷体_GB2312"/>
          <w:bCs/>
          <w:sz w:val="24"/>
        </w:rPr>
        <w:t>“</w:t>
      </w:r>
      <w:r>
        <w:rPr>
          <w:rFonts w:eastAsia="楷体_GB2312"/>
          <w:sz w:val="24"/>
        </w:rPr>
        <w:t>信托</w:t>
      </w:r>
      <w:r>
        <w:rPr>
          <w:rFonts w:eastAsia="楷体_GB2312"/>
          <w:bCs/>
          <w:sz w:val="24"/>
        </w:rPr>
        <w:t>”</w:t>
      </w:r>
      <w:r>
        <w:rPr>
          <w:rFonts w:eastAsia="楷体_GB2312"/>
          <w:sz w:val="24"/>
        </w:rPr>
        <w:t>的管理、运用、处分及收支情况。</w:t>
      </w:r>
    </w:p>
    <w:p w14:paraId="67A560BF">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91" w:name="_Toc111281847"/>
      <w:bookmarkStart w:id="592" w:name="_Toc110153471"/>
      <w:r>
        <w:rPr>
          <w:rFonts w:eastAsia="楷体_GB2312"/>
          <w:b/>
          <w:sz w:val="24"/>
        </w:rPr>
        <w:t>信息</w:t>
      </w:r>
      <w:bookmarkStart w:id="593" w:name="_Toc92612952"/>
      <w:r>
        <w:rPr>
          <w:rFonts w:eastAsia="楷体_GB2312"/>
          <w:b/>
          <w:sz w:val="24"/>
        </w:rPr>
        <w:t>披露时间、方</w:t>
      </w:r>
      <w:bookmarkEnd w:id="593"/>
      <w:r>
        <w:rPr>
          <w:rFonts w:eastAsia="楷体_GB2312"/>
          <w:b/>
          <w:sz w:val="24"/>
        </w:rPr>
        <w:t>式</w:t>
      </w:r>
      <w:bookmarkEnd w:id="591"/>
      <w:bookmarkEnd w:id="592"/>
    </w:p>
    <w:p w14:paraId="4E7D7A7E">
      <w:pPr>
        <w:numPr>
          <w:ilvl w:val="2"/>
          <w:numId w:val="4"/>
        </w:numPr>
        <w:tabs>
          <w:tab w:val="left" w:pos="1701"/>
        </w:tabs>
        <w:spacing w:before="156" w:beforeLines="50" w:after="156" w:afterLines="50" w:line="360" w:lineRule="auto"/>
        <w:rPr>
          <w:rFonts w:eastAsia="楷体_GB2312"/>
          <w:sz w:val="24"/>
        </w:rPr>
      </w:pPr>
      <w:bookmarkStart w:id="594" w:name="_Ref111698061"/>
      <w:r>
        <w:rPr>
          <w:rFonts w:eastAsia="楷体_GB2312"/>
          <w:sz w:val="24"/>
        </w:rPr>
        <w:t>“受托人”应通过“交易商协会”综合业务和信息服务平台、中国货币网、中国债券信息网、“北金所”官方网站及“交易商协会”认可的其他方式进行相关的信息披露。“受托人”应保证信息披露真实、准确和完整，不得有虚假记载、误导性陈述和重大遗漏。</w:t>
      </w:r>
      <w:bookmarkEnd w:id="594"/>
    </w:p>
    <w:p w14:paraId="3ED11E52">
      <w:pPr>
        <w:spacing w:before="156" w:beforeLines="50" w:after="156" w:afterLines="50" w:line="360" w:lineRule="auto"/>
        <w:ind w:left="1424" w:leftChars="678"/>
        <w:rPr>
          <w:rFonts w:eastAsia="楷体_GB2312"/>
          <w:b/>
          <w:i/>
          <w:color w:val="FF0000"/>
          <w:sz w:val="24"/>
        </w:rPr>
      </w:pPr>
      <w:r>
        <w:rPr>
          <w:rFonts w:eastAsia="楷体_GB2312"/>
          <w:b/>
          <w:i/>
          <w:color w:val="FF0000"/>
          <w:sz w:val="24"/>
        </w:rPr>
        <w:t>【注：对信息披露方式的约定应根据届时适用的信息披露规则进行调整。】</w:t>
      </w:r>
    </w:p>
    <w:p w14:paraId="778514DD">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“委托人”和接受“受托人”委托为证券化提供服务的机构应按照本合同和相关合同的约定，及时向“受托人”提供有关信息报告，并保证其向“受托人”所提供信息真实、准确和完整。</w:t>
      </w:r>
    </w:p>
    <w:p w14:paraId="477E63C3">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“委托人”、“受托人”、为证券化提供服务的机构等相关知情人在信息披露前不得泄露拟披露的信息。</w:t>
      </w:r>
    </w:p>
    <w:p w14:paraId="56C604E2">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在“信托期限”内，“受托人”应在“支付日”前的第【】个“工作日”向</w:t>
      </w:r>
      <w:r>
        <w:rPr>
          <w:rFonts w:eastAsia="楷体_GB2312"/>
          <w:color w:val="000000"/>
          <w:sz w:val="24"/>
        </w:rPr>
        <w:t>“交易商协会”综合业务和信息服务平台、中国货币网、中国债券信息网、“北金所”官方网站及“交易商协会”认可的其他方式</w:t>
      </w:r>
      <w:r>
        <w:rPr>
          <w:rFonts w:eastAsia="楷体_GB2312"/>
          <w:sz w:val="24"/>
        </w:rPr>
        <w:t>提供月度“受托机构报告”，反映当期“资产支持证券”对应的“信托财产”状况和各档“资产支持证券”对应的本息支付信息。</w:t>
      </w:r>
    </w:p>
    <w:p w14:paraId="05B6322A">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在每年4月30日前，“受托人”公布经“审计师”审计的上年度的“受托机构报告”。信托设立至当年年末不足2个月的，可不用编制年度“受托机构报告”。</w:t>
      </w:r>
    </w:p>
    <w:p w14:paraId="39AF237D">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托人”应与“评级机构”就“优先级资产支持证券”跟踪评级的有关安排作出约定，并应于“优先级资产支持证券”存续期限内每年的7月31日前向“资产支持证券持有人”披露上年度的“评级机构”的跟踪评级报告。</w:t>
      </w:r>
    </w:p>
    <w:p w14:paraId="0EF14F06">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在发生对“资产支持证券”投资价值具有实质性影响的临时性重大事件时，“受托人”应在事发后的【】个“工作日”内披露相关信息（格式参照本合同</w:t>
      </w:r>
      <w:r>
        <w:rPr>
          <w:rFonts w:eastAsia="楷体_GB2312"/>
          <w:b/>
          <w:bCs/>
          <w:i/>
          <w:iCs/>
          <w:sz w:val="24"/>
        </w:rPr>
        <w:t>附件十一</w:t>
      </w:r>
      <w:r>
        <w:rPr>
          <w:rFonts w:eastAsia="楷体_GB2312"/>
          <w:sz w:val="24"/>
        </w:rPr>
        <w:t>）并通知“评级机构”，并向“人民银行”和“金融监管总局”、“交易商协会”报告。本条所称临时性重大事件包括但不限于以下情形：</w:t>
      </w:r>
    </w:p>
    <w:p w14:paraId="5A716023">
      <w:pPr>
        <w:numPr>
          <w:ilvl w:val="0"/>
          <w:numId w:val="31"/>
        </w:numPr>
        <w:spacing w:before="156" w:beforeLines="50" w:after="156" w:afterLines="50" w:line="360" w:lineRule="auto"/>
        <w:ind w:left="2268"/>
        <w:rPr>
          <w:rFonts w:eastAsia="楷体_GB2312"/>
          <w:sz w:val="24"/>
        </w:rPr>
      </w:pPr>
      <w:r>
        <w:rPr>
          <w:rFonts w:eastAsia="楷体_GB2312"/>
          <w:sz w:val="24"/>
        </w:rPr>
        <w:t>“受托人”不能或预期不能按时支付“优先级资产支持证券”的本息；</w:t>
      </w:r>
    </w:p>
    <w:p w14:paraId="4A81F914">
      <w:pPr>
        <w:numPr>
          <w:ilvl w:val="0"/>
          <w:numId w:val="31"/>
        </w:numPr>
        <w:spacing w:before="156" w:beforeLines="50" w:after="156" w:afterLines="50" w:line="360" w:lineRule="auto"/>
        <w:ind w:left="2268"/>
        <w:rPr>
          <w:rFonts w:eastAsia="楷体_GB2312"/>
          <w:sz w:val="24"/>
        </w:rPr>
      </w:pPr>
      <w:r>
        <w:rPr>
          <w:rFonts w:eastAsia="楷体_GB2312"/>
          <w:sz w:val="24"/>
        </w:rPr>
        <w:t>发生任何“违约事件”、“贷款服务机构解任事件”、“受托人解任事件”、“受托人辞任事件”、“加速清偿事件”，或者“权利完善事件”；</w:t>
      </w:r>
    </w:p>
    <w:p w14:paraId="773D5059">
      <w:pPr>
        <w:numPr>
          <w:ilvl w:val="0"/>
          <w:numId w:val="31"/>
        </w:numPr>
        <w:spacing w:before="156" w:beforeLines="50" w:after="156" w:afterLines="50" w:line="360" w:lineRule="auto"/>
        <w:ind w:left="2268"/>
        <w:rPr>
          <w:rFonts w:eastAsia="楷体_GB2312"/>
          <w:sz w:val="24"/>
        </w:rPr>
      </w:pPr>
      <w:r>
        <w:rPr>
          <w:rFonts w:eastAsia="楷体_GB2312"/>
          <w:sz w:val="24"/>
        </w:rPr>
        <w:t>“受托人”、“贷款服务机构”或“资金保管机构”等为证券化提供服务的机构发生影响“资产支持证券”投资价值的违法、违规或违约行为；</w:t>
      </w:r>
    </w:p>
    <w:p w14:paraId="06406F9B">
      <w:pPr>
        <w:numPr>
          <w:ilvl w:val="0"/>
          <w:numId w:val="31"/>
        </w:numPr>
        <w:spacing w:before="156" w:beforeLines="50" w:after="156" w:afterLines="50" w:line="360" w:lineRule="auto"/>
        <w:ind w:left="2268"/>
        <w:rPr>
          <w:rFonts w:eastAsia="楷体_GB2312"/>
          <w:sz w:val="24"/>
        </w:rPr>
      </w:pPr>
      <w:r>
        <w:rPr>
          <w:rFonts w:eastAsia="楷体_GB2312"/>
          <w:sz w:val="24"/>
        </w:rPr>
        <w:t>“受托人”、“贷款服务机构”或“资金保管机构”等为证券化提供服务的机构发生变更；</w:t>
      </w:r>
    </w:p>
    <w:p w14:paraId="710637CA">
      <w:pPr>
        <w:numPr>
          <w:ilvl w:val="0"/>
          <w:numId w:val="31"/>
        </w:numPr>
        <w:spacing w:before="156" w:beforeLines="50" w:after="156" w:afterLines="50" w:line="360" w:lineRule="auto"/>
        <w:ind w:left="2268"/>
        <w:rPr>
          <w:rFonts w:eastAsia="楷体_GB2312"/>
          <w:sz w:val="24"/>
        </w:rPr>
      </w:pPr>
      <w:r>
        <w:rPr>
          <w:rFonts w:eastAsia="楷体_GB2312"/>
          <w:sz w:val="24"/>
        </w:rPr>
        <w:t>“优先级资产支持证券”的信用评级发生不利变化；</w:t>
      </w:r>
    </w:p>
    <w:p w14:paraId="16974037">
      <w:pPr>
        <w:numPr>
          <w:ilvl w:val="0"/>
          <w:numId w:val="31"/>
        </w:numPr>
        <w:spacing w:before="156" w:beforeLines="50" w:after="156" w:afterLines="50" w:line="360" w:lineRule="auto"/>
        <w:ind w:left="2268"/>
        <w:rPr>
          <w:rFonts w:eastAsia="楷体_GB2312"/>
          <w:sz w:val="24"/>
        </w:rPr>
      </w:pPr>
      <w:r>
        <w:rPr>
          <w:rFonts w:eastAsia="楷体_GB2312"/>
          <w:sz w:val="24"/>
        </w:rPr>
        <w:t>“受托人”、“贷款服务机构”或“资金保管机构”等为证券化提供服务的机构或者“信贷资产”涉及重大法律纠纷，可能影响“资产支持证券”的按时分配；</w:t>
      </w:r>
    </w:p>
    <w:p w14:paraId="43872CF6">
      <w:pPr>
        <w:numPr>
          <w:ilvl w:val="0"/>
          <w:numId w:val="31"/>
        </w:numPr>
        <w:spacing w:before="156" w:beforeLines="50" w:after="156" w:afterLines="50" w:line="360" w:lineRule="auto"/>
        <w:ind w:left="2268"/>
        <w:rPr>
          <w:rFonts w:eastAsia="楷体_GB2312"/>
          <w:sz w:val="24"/>
        </w:rPr>
      </w:pPr>
      <w:r>
        <w:rPr>
          <w:rFonts w:eastAsia="楷体_GB2312"/>
          <w:sz w:val="24"/>
        </w:rPr>
        <w:t>“受托人”、“发起机构”或其他为证券化提供服务的机构的经营情况发生重大变化，或者做出减资、合并、分立、解散、申请破产等决定，可能降低其从事证券化业务水平，对“资产支持证券持有人”的利益造成“重大不利影响”；</w:t>
      </w:r>
    </w:p>
    <w:p w14:paraId="33D4AEF0">
      <w:pPr>
        <w:numPr>
          <w:ilvl w:val="0"/>
          <w:numId w:val="31"/>
        </w:numPr>
        <w:spacing w:before="156" w:beforeLines="50" w:after="156" w:afterLines="50" w:line="360" w:lineRule="auto"/>
        <w:ind w:left="2268"/>
        <w:rPr>
          <w:rFonts w:eastAsia="楷体_GB2312"/>
          <w:sz w:val="24"/>
        </w:rPr>
      </w:pPr>
      <w:r>
        <w:rPr>
          <w:rFonts w:hint="eastAsia" w:eastAsia="楷体_GB2312"/>
          <w:color w:val="000000"/>
          <w:sz w:val="24"/>
        </w:rPr>
        <w:t>资产池的提前还款比例超过</w:t>
      </w:r>
      <w:r>
        <w:rPr>
          <w:rFonts w:eastAsia="楷体_GB2312"/>
          <w:color w:val="000000"/>
          <w:sz w:val="24"/>
        </w:rPr>
        <w:t>“贷款服务机构”</w:t>
      </w:r>
      <w:r>
        <w:rPr>
          <w:rFonts w:hint="eastAsia" w:eastAsia="楷体_GB2312"/>
          <w:color w:val="000000"/>
          <w:sz w:val="24"/>
        </w:rPr>
        <w:t>预测的提前还款比例，或任一时点资产池实际提前还款比例超过【】%的；</w:t>
      </w:r>
    </w:p>
    <w:p w14:paraId="0147F14D">
      <w:pPr>
        <w:numPr>
          <w:ilvl w:val="0"/>
          <w:numId w:val="31"/>
        </w:numPr>
        <w:spacing w:before="156" w:beforeLines="50" w:after="156" w:afterLines="50" w:line="360" w:lineRule="auto"/>
        <w:ind w:left="2268"/>
        <w:rPr>
          <w:rFonts w:eastAsia="楷体_GB2312"/>
          <w:sz w:val="24"/>
        </w:rPr>
      </w:pPr>
      <w:r>
        <w:rPr>
          <w:rFonts w:eastAsia="楷体_GB2312"/>
          <w:sz w:val="24"/>
        </w:rPr>
        <w:t>“人民银行”、“金融监管总局”等监管机构规定应公告的其他事项；</w:t>
      </w:r>
    </w:p>
    <w:p w14:paraId="4000CEB8">
      <w:pPr>
        <w:numPr>
          <w:ilvl w:val="0"/>
          <w:numId w:val="31"/>
        </w:numPr>
        <w:spacing w:before="156" w:beforeLines="50" w:after="156" w:afterLines="50" w:line="360" w:lineRule="auto"/>
        <w:ind w:left="2268"/>
        <w:rPr>
          <w:rFonts w:eastAsia="楷体_GB2312"/>
          <w:sz w:val="24"/>
        </w:rPr>
      </w:pPr>
      <w:r>
        <w:rPr>
          <w:rFonts w:eastAsia="楷体_GB2312"/>
          <w:sz w:val="24"/>
        </w:rPr>
        <w:t>“中国”“法律”规定和本合同约定应公告的其他事项。</w:t>
      </w:r>
    </w:p>
    <w:p w14:paraId="7A074813">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595" w:name="_Toc110153472"/>
      <w:bookmarkStart w:id="596" w:name="_Toc111281848"/>
      <w:r>
        <w:rPr>
          <w:rFonts w:eastAsia="楷体_GB2312"/>
          <w:b/>
          <w:sz w:val="24"/>
        </w:rPr>
        <w:t>受益</w:t>
      </w:r>
      <w:bookmarkStart w:id="597" w:name="_Toc92612954"/>
      <w:r>
        <w:rPr>
          <w:rFonts w:eastAsia="楷体_GB2312"/>
          <w:b/>
          <w:sz w:val="24"/>
        </w:rPr>
        <w:t>人知情权的行使</w:t>
      </w:r>
      <w:bookmarkEnd w:id="595"/>
      <w:bookmarkEnd w:id="596"/>
    </w:p>
    <w:bookmarkEnd w:id="597"/>
    <w:p w14:paraId="04650767">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“受益人”有权按照本合同的约定获得“信托”的相关信息；</w:t>
      </w:r>
    </w:p>
    <w:p w14:paraId="32D9AFB1">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“受益人”对由本合同而获得的有关“信托”的任何非公开信息负有保密义务，不得滥用该信息。</w:t>
      </w:r>
    </w:p>
    <w:p w14:paraId="6435F8C2">
      <w:pPr>
        <w:numPr>
          <w:ilvl w:val="0"/>
          <w:numId w:val="4"/>
        </w:numPr>
        <w:spacing w:before="156" w:beforeLines="50" w:after="156" w:afterLines="50" w:line="360" w:lineRule="auto"/>
        <w:outlineLvl w:val="0"/>
        <w:rPr>
          <w:rFonts w:eastAsia="楷体_GB2312"/>
          <w:b/>
          <w:sz w:val="24"/>
        </w:rPr>
      </w:pPr>
      <w:bookmarkStart w:id="598" w:name="_Toc111281849"/>
      <w:bookmarkStart w:id="599" w:name="_Toc110153473"/>
      <w:bookmarkStart w:id="600" w:name="_Toc221382866"/>
      <w:bookmarkStart w:id="601" w:name="_Toc402883952"/>
      <w:r>
        <w:rPr>
          <w:rFonts w:eastAsia="楷体_GB2312"/>
          <w:b/>
          <w:sz w:val="24"/>
        </w:rPr>
        <w:t>信托</w:t>
      </w:r>
      <w:bookmarkStart w:id="602" w:name="_Toc92612955"/>
      <w:r>
        <w:rPr>
          <w:rFonts w:eastAsia="楷体_GB2312"/>
          <w:b/>
          <w:sz w:val="24"/>
        </w:rPr>
        <w:t>的变更和终止</w:t>
      </w:r>
      <w:bookmarkEnd w:id="598"/>
      <w:bookmarkEnd w:id="599"/>
      <w:bookmarkEnd w:id="600"/>
      <w:bookmarkEnd w:id="601"/>
    </w:p>
    <w:bookmarkEnd w:id="602"/>
    <w:p w14:paraId="0595140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603" w:name="_Toc111281851"/>
      <w:bookmarkStart w:id="604" w:name="_Toc110153475"/>
      <w:r>
        <w:rPr>
          <w:rFonts w:eastAsia="楷体_GB2312"/>
          <w:b/>
          <w:sz w:val="24"/>
        </w:rPr>
        <w:t>信托</w:t>
      </w:r>
      <w:bookmarkStart w:id="605" w:name="_Toc92612957"/>
      <w:r>
        <w:rPr>
          <w:rFonts w:eastAsia="楷体_GB2312"/>
          <w:b/>
          <w:sz w:val="24"/>
        </w:rPr>
        <w:t>变更</w:t>
      </w:r>
      <w:bookmarkEnd w:id="603"/>
      <w:bookmarkEnd w:id="604"/>
    </w:p>
    <w:bookmarkEnd w:id="605"/>
    <w:p w14:paraId="432F0DF0">
      <w:pPr>
        <w:spacing w:before="156" w:beforeLines="50" w:after="156" w:afterLines="50" w:line="360" w:lineRule="auto"/>
        <w:ind w:left="992"/>
        <w:rPr>
          <w:rFonts w:eastAsia="楷体_GB2312"/>
          <w:b/>
          <w:sz w:val="24"/>
        </w:rPr>
      </w:pPr>
      <w:r>
        <w:rPr>
          <w:rFonts w:eastAsia="楷体_GB2312"/>
          <w:sz w:val="24"/>
        </w:rPr>
        <w:t>“</w:t>
      </w:r>
      <w:r>
        <w:rPr>
          <w:rFonts w:eastAsia="楷体_GB2312"/>
          <w:bCs/>
          <w:sz w:val="24"/>
        </w:rPr>
        <w:t>信托</w:t>
      </w:r>
      <w:r>
        <w:rPr>
          <w:rFonts w:eastAsia="楷体_GB2312"/>
          <w:sz w:val="24"/>
        </w:rPr>
        <w:t>”生效后，除本合同另有约定或“中国”“法律”另有规定的以外，“委托人”、“受托人”以及“受益人”任何一方不得擅自变更、撤销、解除或终止“信托”。</w:t>
      </w:r>
    </w:p>
    <w:p w14:paraId="7F369A82">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606" w:name="_Toc172736627"/>
      <w:bookmarkStart w:id="607" w:name="_Toc152168765"/>
      <w:bookmarkStart w:id="608" w:name="_Toc151554375"/>
      <w:bookmarkStart w:id="609" w:name="_Toc152168209"/>
      <w:bookmarkStart w:id="610" w:name="_Ref110219766"/>
      <w:r>
        <w:rPr>
          <w:rFonts w:eastAsia="楷体_GB2312"/>
          <w:b/>
          <w:sz w:val="24"/>
        </w:rPr>
        <w:t>信托的终止</w:t>
      </w:r>
      <w:bookmarkEnd w:id="606"/>
      <w:bookmarkEnd w:id="607"/>
      <w:bookmarkEnd w:id="608"/>
      <w:bookmarkEnd w:id="609"/>
    </w:p>
    <w:p w14:paraId="6CD263C3">
      <w:pPr>
        <w:spacing w:before="156" w:beforeLines="50" w:after="156" w:afterLines="50" w:line="360" w:lineRule="auto"/>
        <w:ind w:left="993"/>
        <w:rPr>
          <w:rFonts w:eastAsia="楷体_GB2312"/>
          <w:sz w:val="24"/>
        </w:rPr>
      </w:pPr>
      <w:r>
        <w:rPr>
          <w:rFonts w:eastAsia="楷体_GB2312"/>
          <w:bCs/>
          <w:sz w:val="24"/>
        </w:rPr>
        <w:t>发生</w:t>
      </w:r>
      <w:r>
        <w:rPr>
          <w:rFonts w:eastAsia="楷体_GB2312"/>
          <w:sz w:val="24"/>
        </w:rPr>
        <w:t>下列情形之一时，“信托”终止：</w:t>
      </w:r>
    </w:p>
    <w:p w14:paraId="5E4A1777">
      <w:pPr>
        <w:numPr>
          <w:ilvl w:val="2"/>
          <w:numId w:val="4"/>
        </w:numPr>
        <w:spacing w:before="156" w:beforeLines="50" w:after="156" w:afterLines="50" w:line="360" w:lineRule="auto"/>
        <w:ind w:left="1843" w:hanging="851"/>
        <w:rPr>
          <w:rFonts w:eastAsia="楷体_GB2312"/>
          <w:sz w:val="24"/>
        </w:rPr>
      </w:pPr>
      <w:r>
        <w:rPr>
          <w:rFonts w:eastAsia="楷体_GB2312"/>
          <w:sz w:val="24"/>
        </w:rPr>
        <w:t>“信托”之信托目的已经无法实现；</w:t>
      </w:r>
    </w:p>
    <w:p w14:paraId="5B731229">
      <w:pPr>
        <w:numPr>
          <w:ilvl w:val="2"/>
          <w:numId w:val="4"/>
        </w:numPr>
        <w:spacing w:before="156" w:beforeLines="50" w:after="156" w:afterLines="50" w:line="360" w:lineRule="auto"/>
        <w:ind w:left="1843" w:hanging="851"/>
        <w:rPr>
          <w:rFonts w:eastAsia="楷体_GB2312"/>
          <w:sz w:val="24"/>
        </w:rPr>
      </w:pPr>
      <w:r>
        <w:rPr>
          <w:rFonts w:eastAsia="楷体_GB2312"/>
          <w:sz w:val="24"/>
        </w:rPr>
        <w:t>“信托”被法院或仲裁机构依法撤销、被认定为无效或被判决终止；</w:t>
      </w:r>
    </w:p>
    <w:p w14:paraId="688C983E">
      <w:pPr>
        <w:numPr>
          <w:ilvl w:val="2"/>
          <w:numId w:val="4"/>
        </w:numPr>
        <w:spacing w:before="156" w:beforeLines="50" w:after="156" w:afterLines="50" w:line="360" w:lineRule="auto"/>
        <w:ind w:left="1843" w:hanging="851"/>
        <w:rPr>
          <w:rFonts w:eastAsia="楷体_GB2312"/>
          <w:sz w:val="24"/>
        </w:rPr>
      </w:pPr>
      <w:r>
        <w:rPr>
          <w:rFonts w:eastAsia="楷体_GB2312"/>
          <w:sz w:val="24"/>
        </w:rPr>
        <w:t>“金融监管总局”或相关监管部门依法命令终止“信托”；</w:t>
      </w:r>
    </w:p>
    <w:p w14:paraId="74B96B32">
      <w:pPr>
        <w:numPr>
          <w:ilvl w:val="2"/>
          <w:numId w:val="4"/>
        </w:numPr>
        <w:spacing w:before="156" w:beforeLines="50" w:after="156" w:afterLines="50" w:line="360" w:lineRule="auto"/>
        <w:ind w:left="1843" w:hanging="851"/>
        <w:rPr>
          <w:rFonts w:eastAsia="楷体_GB2312"/>
          <w:sz w:val="24"/>
        </w:rPr>
      </w:pPr>
      <w:r>
        <w:rPr>
          <w:rFonts w:eastAsia="楷体_GB2312"/>
          <w:sz w:val="24"/>
        </w:rPr>
        <w:t>“资产支持证券持有人大会”决议提前终止“信托”；</w:t>
      </w:r>
    </w:p>
    <w:p w14:paraId="085253DB">
      <w:pPr>
        <w:numPr>
          <w:ilvl w:val="2"/>
          <w:numId w:val="4"/>
        </w:numPr>
        <w:spacing w:before="156" w:beforeLines="50" w:after="156" w:afterLines="50" w:line="360" w:lineRule="auto"/>
        <w:ind w:left="1843" w:hanging="851"/>
        <w:rPr>
          <w:rFonts w:eastAsia="楷体_GB2312"/>
          <w:sz w:val="24"/>
        </w:rPr>
      </w:pPr>
      <w:bookmarkStart w:id="611" w:name="_Hlk520832728"/>
      <w:r>
        <w:rPr>
          <w:rFonts w:eastAsia="楷体_GB2312"/>
          <w:sz w:val="24"/>
        </w:rPr>
        <w:t>全部“优先级资产支持证券”本息全部偿付完毕后，如届时“贷款服务机构”同时为“次级资产支持证券持有人”，全部“次级资产支持证券持有人”书面一致同意终止“信托”且就剩余全部“信托财产”的原状分配或整体处置达成书面一致意见；</w:t>
      </w:r>
      <w:bookmarkEnd w:id="611"/>
    </w:p>
    <w:p w14:paraId="5967A13E">
      <w:pPr>
        <w:numPr>
          <w:ilvl w:val="2"/>
          <w:numId w:val="4"/>
        </w:numPr>
        <w:spacing w:before="156" w:beforeLines="50" w:after="156" w:afterLines="50" w:line="360" w:lineRule="auto"/>
        <w:ind w:left="1843" w:hanging="851"/>
        <w:rPr>
          <w:rFonts w:eastAsia="楷体_GB2312"/>
          <w:sz w:val="24"/>
        </w:rPr>
      </w:pPr>
      <w:r>
        <w:rPr>
          <w:rFonts w:eastAsia="楷体_GB2312"/>
          <w:sz w:val="24"/>
        </w:rPr>
        <w:t>“信托财产”全部变现完毕（含“清仓回购”）；</w:t>
      </w:r>
    </w:p>
    <w:p w14:paraId="77A1B990">
      <w:pPr>
        <w:numPr>
          <w:ilvl w:val="2"/>
          <w:numId w:val="4"/>
        </w:numPr>
        <w:spacing w:before="156" w:beforeLines="50" w:after="156" w:afterLines="50" w:line="360" w:lineRule="auto"/>
        <w:ind w:left="1843" w:hanging="851"/>
        <w:rPr>
          <w:rFonts w:eastAsia="楷体_GB2312"/>
          <w:sz w:val="24"/>
        </w:rPr>
      </w:pPr>
      <w:r>
        <w:rPr>
          <w:rFonts w:eastAsia="楷体_GB2312"/>
          <w:sz w:val="24"/>
        </w:rPr>
        <w:t>“法定到期日”届至。</w:t>
      </w:r>
    </w:p>
    <w:p w14:paraId="1258B4B0">
      <w:pPr>
        <w:spacing w:before="156" w:beforeLines="50" w:after="156" w:afterLines="50" w:line="360" w:lineRule="auto"/>
        <w:ind w:left="1701" w:hanging="708"/>
        <w:rPr>
          <w:rFonts w:eastAsia="楷体_GB2312"/>
          <w:b/>
          <w:i/>
          <w:color w:val="FF0000"/>
          <w:sz w:val="24"/>
        </w:rPr>
      </w:pPr>
      <w:bookmarkStart w:id="612" w:name="_Hlk520832744"/>
      <w:r>
        <w:rPr>
          <w:rFonts w:eastAsia="楷体_GB2312"/>
          <w:b/>
          <w:i/>
          <w:color w:val="FF0000"/>
          <w:sz w:val="24"/>
        </w:rPr>
        <w:t>【注：信托终止事由可根据项目情况进行调整。】</w:t>
      </w:r>
      <w:bookmarkEnd w:id="612"/>
    </w:p>
    <w:p w14:paraId="701882A6">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sz w:val="24"/>
        </w:rPr>
      </w:pPr>
      <w:bookmarkStart w:id="613" w:name="_Toc171305123"/>
      <w:r>
        <w:rPr>
          <w:rFonts w:eastAsia="楷体_GB2312"/>
          <w:b/>
          <w:sz w:val="24"/>
        </w:rPr>
        <w:t>信托期限</w:t>
      </w:r>
      <w:bookmarkEnd w:id="613"/>
    </w:p>
    <w:p w14:paraId="77591BC7">
      <w:pPr>
        <w:spacing w:before="156" w:beforeLines="50" w:after="156" w:afterLines="50" w:line="360" w:lineRule="auto"/>
        <w:ind w:left="992"/>
        <w:rPr>
          <w:rFonts w:eastAsia="楷体_GB2312"/>
          <w:sz w:val="24"/>
        </w:rPr>
      </w:pPr>
      <w:r>
        <w:rPr>
          <w:rFonts w:eastAsia="楷体_GB2312"/>
          <w:sz w:val="24"/>
        </w:rPr>
        <w:t>“信托”的“信托期限”自“信托生效日”（含该日）起至“信托终止日”（不含该日）止。</w:t>
      </w:r>
    </w:p>
    <w:p w14:paraId="308B9CB3">
      <w:pPr>
        <w:numPr>
          <w:ilvl w:val="0"/>
          <w:numId w:val="4"/>
        </w:numPr>
        <w:tabs>
          <w:tab w:val="left" w:pos="425"/>
          <w:tab w:val="left" w:pos="1800"/>
          <w:tab w:val="left" w:pos="1980"/>
        </w:tabs>
        <w:spacing w:before="156" w:beforeLines="50" w:after="156" w:afterLines="50" w:line="360" w:lineRule="auto"/>
        <w:outlineLvl w:val="0"/>
        <w:rPr>
          <w:rFonts w:eastAsia="楷体_GB2312"/>
          <w:sz w:val="24"/>
        </w:rPr>
      </w:pPr>
      <w:bookmarkStart w:id="614" w:name="_Toc172736628"/>
      <w:bookmarkStart w:id="615" w:name="_Ref519153575"/>
      <w:bookmarkStart w:id="616" w:name="_Toc152168211"/>
      <w:bookmarkStart w:id="617" w:name="_Ref522726561"/>
      <w:bookmarkStart w:id="618" w:name="_Toc402883953"/>
      <w:bookmarkStart w:id="619" w:name="_Toc221382867"/>
      <w:bookmarkStart w:id="620" w:name="_Toc151554378"/>
      <w:bookmarkStart w:id="621" w:name="_Toc152168767"/>
      <w:bookmarkStart w:id="622" w:name="_Ref519153454"/>
      <w:r>
        <w:rPr>
          <w:rFonts w:eastAsia="楷体_GB2312"/>
          <w:b/>
          <w:sz w:val="24"/>
        </w:rPr>
        <w:t>信托的清算</w:t>
      </w:r>
      <w:bookmarkEnd w:id="614"/>
      <w:bookmarkEnd w:id="615"/>
      <w:bookmarkEnd w:id="616"/>
      <w:bookmarkEnd w:id="617"/>
      <w:bookmarkEnd w:id="618"/>
      <w:bookmarkEnd w:id="619"/>
      <w:bookmarkEnd w:id="620"/>
      <w:bookmarkEnd w:id="621"/>
      <w:bookmarkEnd w:id="622"/>
    </w:p>
    <w:p w14:paraId="77075F28">
      <w:pPr>
        <w:tabs>
          <w:tab w:val="left" w:pos="992"/>
        </w:tabs>
        <w:spacing w:before="156" w:beforeLines="50" w:after="156" w:afterLines="50" w:line="360" w:lineRule="auto"/>
        <w:ind w:left="420"/>
        <w:outlineLvl w:val="1"/>
        <w:rPr>
          <w:rFonts w:eastAsia="楷体_GB2312"/>
          <w:b/>
          <w:i/>
          <w:iCs/>
          <w:sz w:val="24"/>
        </w:rPr>
      </w:pPr>
      <w:bookmarkStart w:id="623" w:name="_Toc172736629"/>
      <w:bookmarkStart w:id="624" w:name="_Toc171305125"/>
      <w:bookmarkStart w:id="625" w:name="_Toc169937661"/>
      <w:bookmarkStart w:id="626" w:name="_Toc152168768"/>
      <w:bookmarkStart w:id="627" w:name="_Toc152168212"/>
      <w:bookmarkStart w:id="628" w:name="_Toc151554379"/>
      <w:r>
        <w:rPr>
          <w:rFonts w:eastAsia="楷体_GB2312"/>
          <w:b/>
          <w:i/>
          <w:iCs/>
          <w:color w:val="FF0000"/>
          <w:sz w:val="24"/>
        </w:rPr>
        <w:t>【注：清算程序和清算规则，可在法律允许范围内根据具体项目各方协商结果进行调整。】</w:t>
      </w:r>
    </w:p>
    <w:p w14:paraId="70DA8374">
      <w:pPr>
        <w:numPr>
          <w:ilvl w:val="1"/>
          <w:numId w:val="4"/>
        </w:numPr>
        <w:tabs>
          <w:tab w:val="left" w:pos="992"/>
        </w:tabs>
        <w:spacing w:before="156" w:beforeLines="50" w:after="156" w:afterLines="50" w:line="360" w:lineRule="auto"/>
        <w:ind w:left="879" w:hanging="454"/>
        <w:outlineLvl w:val="1"/>
        <w:rPr>
          <w:rFonts w:eastAsia="楷体_GB2312"/>
          <w:b/>
          <w:sz w:val="24"/>
        </w:rPr>
      </w:pPr>
      <w:r>
        <w:rPr>
          <w:rFonts w:eastAsia="楷体_GB2312"/>
          <w:b/>
          <w:sz w:val="24"/>
        </w:rPr>
        <w:t>信托财产的清算</w:t>
      </w:r>
      <w:bookmarkEnd w:id="623"/>
      <w:bookmarkEnd w:id="624"/>
    </w:p>
    <w:p w14:paraId="09F1F826">
      <w:pPr>
        <w:numPr>
          <w:ilvl w:val="2"/>
          <w:numId w:val="4"/>
        </w:numPr>
        <w:tabs>
          <w:tab w:val="left" w:pos="1701"/>
        </w:tabs>
        <w:spacing w:before="156" w:beforeLines="50" w:after="156" w:afterLines="50" w:line="360" w:lineRule="auto"/>
        <w:ind w:left="1843" w:hanging="851"/>
        <w:rPr>
          <w:rFonts w:eastAsia="楷体_GB2312"/>
          <w:b/>
          <w:sz w:val="24"/>
        </w:rPr>
      </w:pPr>
      <w:r>
        <w:rPr>
          <w:rFonts w:eastAsia="楷体_GB2312"/>
          <w:sz w:val="24"/>
        </w:rPr>
        <w:t>“信托”终止后，“受托人”应对“信托财产”进行清算：(a)清算“合格投资”；(b)按本合同第</w:t>
      </w:r>
      <w:r>
        <w:rPr>
          <w:rFonts w:eastAsia="楷体_GB2312"/>
          <w:sz w:val="24"/>
        </w:rPr>
        <w:fldChar w:fldCharType="begin"/>
      </w:r>
      <w:r>
        <w:rPr>
          <w:rFonts w:eastAsia="楷体_GB2312"/>
          <w:sz w:val="24"/>
        </w:rPr>
        <w:instrText xml:space="preserve"> REF _Ref170806054 \r \h  \* MERGEFORMAT </w:instrText>
      </w:r>
      <w:r>
        <w:rPr>
          <w:rFonts w:eastAsia="楷体_GB2312"/>
          <w:sz w:val="24"/>
        </w:rPr>
        <w:fldChar w:fldCharType="separate"/>
      </w:r>
      <w:r>
        <w:rPr>
          <w:rFonts w:eastAsia="楷体_GB2312"/>
          <w:sz w:val="24"/>
        </w:rPr>
        <w:t>23.2</w:t>
      </w:r>
      <w:r>
        <w:rPr>
          <w:rFonts w:eastAsia="楷体_GB2312"/>
          <w:sz w:val="24"/>
        </w:rPr>
        <w:fldChar w:fldCharType="end"/>
      </w:r>
      <w:r>
        <w:rPr>
          <w:rFonts w:eastAsia="楷体_GB2312"/>
          <w:sz w:val="24"/>
        </w:rPr>
        <w:t>款清算除现金、存款及“合格投资”以外的“信托财产”（“非现金信托财产”）。但是，在“资产支持证券持有人大会”就“信托财产”的清算方案尚未形成决议之前，“受托人”仍应继续按照本合同及其他“交易文件”约定的方式管理、处分和运用“信托财产”。</w:t>
      </w:r>
    </w:p>
    <w:p w14:paraId="22C978C9">
      <w:pPr>
        <w:numPr>
          <w:ilvl w:val="2"/>
          <w:numId w:val="4"/>
        </w:numPr>
        <w:tabs>
          <w:tab w:val="left" w:pos="1701"/>
        </w:tabs>
        <w:spacing w:before="156" w:beforeLines="50" w:after="156" w:afterLines="50" w:line="360" w:lineRule="auto"/>
        <w:ind w:left="1843" w:hanging="851"/>
        <w:rPr>
          <w:rFonts w:eastAsia="楷体_GB2312"/>
          <w:b/>
          <w:sz w:val="24"/>
        </w:rPr>
      </w:pPr>
      <w:r>
        <w:rPr>
          <w:rFonts w:eastAsia="楷体_GB2312"/>
          <w:sz w:val="24"/>
        </w:rPr>
        <w:t>“受托人”应于“信托”终止后【】日内将“信托财产”清算完毕，但“资产支持证券持有人大会”作出的决议另有约定的除外。</w:t>
      </w:r>
    </w:p>
    <w:p w14:paraId="262B8C97">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629" w:name="_Ref170806054"/>
      <w:bookmarkStart w:id="630" w:name="_Toc171305126"/>
      <w:bookmarkStart w:id="631" w:name="_Toc172736630"/>
      <w:r>
        <w:rPr>
          <w:rFonts w:eastAsia="楷体_GB2312"/>
          <w:b/>
          <w:sz w:val="24"/>
        </w:rPr>
        <w:t>非现金信托财产的清算</w:t>
      </w:r>
      <w:bookmarkEnd w:id="625"/>
      <w:bookmarkEnd w:id="629"/>
      <w:bookmarkEnd w:id="630"/>
      <w:bookmarkEnd w:id="631"/>
    </w:p>
    <w:p w14:paraId="6FBD40F6">
      <w:pPr>
        <w:numPr>
          <w:ilvl w:val="2"/>
          <w:numId w:val="4"/>
        </w:numPr>
        <w:tabs>
          <w:tab w:val="left" w:pos="1701"/>
        </w:tabs>
        <w:spacing w:before="156" w:beforeLines="50" w:after="156" w:afterLines="50" w:line="360" w:lineRule="auto"/>
        <w:ind w:left="1843" w:hanging="851"/>
        <w:rPr>
          <w:rFonts w:eastAsia="楷体_GB2312"/>
          <w:sz w:val="24"/>
        </w:rPr>
      </w:pPr>
      <w:bookmarkStart w:id="632" w:name="_Ref48056423"/>
      <w:r>
        <w:rPr>
          <w:rFonts w:eastAsia="楷体_GB2312"/>
          <w:sz w:val="24"/>
        </w:rPr>
        <w:t>如“优先级资产支持证券”本息全部清偿完毕，如届时“贷款服务机构”同时为“次级资产支持证券持有人”，则“受托人”可按照本合同</w:t>
      </w:r>
      <w:r>
        <w:rPr>
          <w:rFonts w:hint="eastAsia" w:eastAsia="楷体_GB2312"/>
          <w:sz w:val="24"/>
        </w:rPr>
        <w:t>第</w:t>
      </w:r>
      <w:r>
        <w:rPr>
          <w:rFonts w:eastAsia="楷体_GB2312"/>
          <w:sz w:val="24"/>
        </w:rPr>
        <w:fldChar w:fldCharType="begin"/>
      </w:r>
      <w:r>
        <w:rPr>
          <w:rFonts w:eastAsia="楷体_GB2312"/>
          <w:sz w:val="24"/>
        </w:rPr>
        <w:instrText xml:space="preserve"> REF _Ref47872335 \r \h  \* MERGEFORMAT </w:instrText>
      </w:r>
      <w:r>
        <w:rPr>
          <w:rFonts w:eastAsia="楷体_GB2312"/>
          <w:sz w:val="24"/>
        </w:rPr>
        <w:fldChar w:fldCharType="separate"/>
      </w:r>
      <w:r>
        <w:rPr>
          <w:rFonts w:eastAsia="楷体_GB2312"/>
          <w:sz w:val="24"/>
        </w:rPr>
        <w:t>11.2.3</w:t>
      </w:r>
      <w:r>
        <w:rPr>
          <w:rFonts w:eastAsia="楷体_GB2312"/>
          <w:sz w:val="24"/>
        </w:rPr>
        <w:fldChar w:fldCharType="end"/>
      </w:r>
      <w:r>
        <w:rPr>
          <w:rFonts w:eastAsia="楷体_GB2312"/>
          <w:sz w:val="24"/>
        </w:rPr>
        <w:t>款至第</w:t>
      </w:r>
      <w:r>
        <w:rPr>
          <w:rFonts w:eastAsia="楷体_GB2312"/>
          <w:sz w:val="24"/>
        </w:rPr>
        <w:fldChar w:fldCharType="begin"/>
      </w:r>
      <w:r>
        <w:rPr>
          <w:rFonts w:eastAsia="楷体_GB2312"/>
          <w:sz w:val="24"/>
        </w:rPr>
        <w:instrText xml:space="preserve"> REF _Ref47870283 \r \h  \* MERGEFORMAT </w:instrText>
      </w:r>
      <w:r>
        <w:rPr>
          <w:rFonts w:eastAsia="楷体_GB2312"/>
          <w:sz w:val="24"/>
        </w:rPr>
        <w:fldChar w:fldCharType="separate"/>
      </w:r>
      <w:r>
        <w:rPr>
          <w:rFonts w:eastAsia="楷体_GB2312"/>
          <w:sz w:val="24"/>
        </w:rPr>
        <w:t>11.2.5</w:t>
      </w:r>
      <w:r>
        <w:rPr>
          <w:rFonts w:eastAsia="楷体_GB2312"/>
          <w:sz w:val="24"/>
        </w:rPr>
        <w:fldChar w:fldCharType="end"/>
      </w:r>
      <w:r>
        <w:rPr>
          <w:rFonts w:eastAsia="楷体_GB2312"/>
          <w:sz w:val="24"/>
        </w:rPr>
        <w:t>款的约定按照“次级资产支持证券持有人”届时达成的“资产处置方案”或原状分配方案分配相应的剩余“信托财产”。</w:t>
      </w:r>
      <w:bookmarkEnd w:id="632"/>
    </w:p>
    <w:p w14:paraId="4A7221D7">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“信托”终止后，“受托人”应及时制订“非现金信托财产”（如有）的清算方案（“清算方案”），并于“信托”终止后【】日内按照本合同第</w:t>
      </w:r>
      <w:r>
        <w:rPr>
          <w:rFonts w:eastAsia="楷体_GB2312"/>
          <w:sz w:val="24"/>
        </w:rPr>
        <w:fldChar w:fldCharType="begin"/>
      </w:r>
      <w:r>
        <w:rPr>
          <w:rFonts w:eastAsia="楷体_GB2312"/>
          <w:sz w:val="24"/>
        </w:rPr>
        <w:instrText xml:space="preserve"> REF _Ref173768296 \r \h  \* MERGEFORMAT </w:instrText>
      </w:r>
      <w:r>
        <w:rPr>
          <w:rFonts w:eastAsia="楷体_GB2312"/>
          <w:sz w:val="24"/>
        </w:rPr>
        <w:fldChar w:fldCharType="separate"/>
      </w:r>
      <w:r>
        <w:rPr>
          <w:rFonts w:eastAsia="楷体_GB2312"/>
          <w:sz w:val="24"/>
        </w:rPr>
        <w:t>18</w:t>
      </w:r>
      <w:r>
        <w:rPr>
          <w:rFonts w:eastAsia="楷体_GB2312"/>
          <w:sz w:val="24"/>
        </w:rPr>
        <w:fldChar w:fldCharType="end"/>
      </w:r>
      <w:r>
        <w:rPr>
          <w:rFonts w:eastAsia="楷体_GB2312"/>
          <w:sz w:val="24"/>
        </w:rPr>
        <w:t>条的约定召开“资产支持证券持有人大会”，由“资产支持证券持有人大会”就是否认可“清算方案”作出决议。</w:t>
      </w:r>
    </w:p>
    <w:p w14:paraId="17891458">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资产支持证券持有人大会”就“清算方案”形成有效决议的，“受托人”应按照“资产支持证券持有人大会”认可的“清算方案”清算“非现金信托财产”；“资产支持证券持有人大会”未能就“清算方案”形成有效决议的，“受托人”应依法以包括但不限于公开出售、转让等方式处分、清算“非现金信托财产”，全体“资产支持证券持有人”及“委托人”对“受托人”的处理方式及结果表示认可。</w:t>
      </w:r>
    </w:p>
    <w:p w14:paraId="00DE2247">
      <w:pPr>
        <w:spacing w:before="156" w:beforeLines="50" w:after="156" w:afterLines="50" w:line="360" w:lineRule="auto"/>
        <w:ind w:left="1843"/>
        <w:rPr>
          <w:rFonts w:eastAsia="楷体_GB2312"/>
          <w:b/>
          <w:i/>
          <w:color w:val="FF0000"/>
          <w:sz w:val="24"/>
        </w:rPr>
      </w:pPr>
      <w:r>
        <w:rPr>
          <w:rFonts w:eastAsia="楷体_GB2312"/>
          <w:b/>
          <w:i/>
          <w:color w:val="FF0000"/>
          <w:sz w:val="24"/>
        </w:rPr>
        <w:t>【注：非现金信托财产的清算方案，可根据项目实际情况进行调整。】</w:t>
      </w:r>
    </w:p>
    <w:bookmarkEnd w:id="626"/>
    <w:bookmarkEnd w:id="627"/>
    <w:bookmarkEnd w:id="628"/>
    <w:p w14:paraId="64D5BB02">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sz w:val="24"/>
        </w:rPr>
      </w:pPr>
      <w:bookmarkStart w:id="633" w:name="_Toc152168769"/>
      <w:bookmarkStart w:id="634" w:name="_Toc151554380"/>
      <w:bookmarkStart w:id="635" w:name="_Toc152168213"/>
      <w:bookmarkStart w:id="636" w:name="_Toc172736631"/>
      <w:r>
        <w:rPr>
          <w:rFonts w:eastAsia="楷体_GB2312"/>
          <w:b/>
          <w:sz w:val="24"/>
        </w:rPr>
        <w:t>信托财产</w:t>
      </w:r>
      <w:bookmarkEnd w:id="633"/>
      <w:bookmarkEnd w:id="634"/>
      <w:bookmarkEnd w:id="635"/>
      <w:r>
        <w:rPr>
          <w:rFonts w:eastAsia="楷体_GB2312"/>
          <w:b/>
          <w:sz w:val="24"/>
        </w:rPr>
        <w:t>的分配</w:t>
      </w:r>
      <w:bookmarkEnd w:id="636"/>
    </w:p>
    <w:p w14:paraId="767424ED">
      <w:pPr>
        <w:spacing w:before="156" w:beforeLines="50" w:after="156" w:afterLines="50" w:line="360" w:lineRule="auto"/>
        <w:ind w:left="992"/>
        <w:rPr>
          <w:rFonts w:eastAsia="楷体_GB2312"/>
          <w:sz w:val="24"/>
        </w:rPr>
      </w:pPr>
      <w:r>
        <w:rPr>
          <w:rFonts w:eastAsia="楷体_GB2312"/>
          <w:sz w:val="24"/>
        </w:rPr>
        <w:t>“信托”终止后，“信托财产”按照本合同第</w:t>
      </w:r>
      <w:r>
        <w:rPr>
          <w:rFonts w:eastAsia="楷体_GB2312"/>
          <w:sz w:val="24"/>
        </w:rPr>
        <w:fldChar w:fldCharType="begin"/>
      </w:r>
      <w:r>
        <w:rPr>
          <w:rFonts w:eastAsia="楷体_GB2312"/>
          <w:sz w:val="24"/>
        </w:rPr>
        <w:instrText xml:space="preserve"> REF _Ref518643019 \r \h  \* MERGEFORMAT </w:instrText>
      </w:r>
      <w:r>
        <w:rPr>
          <w:rFonts w:eastAsia="楷体_GB2312"/>
          <w:sz w:val="24"/>
        </w:rPr>
        <w:fldChar w:fldCharType="separate"/>
      </w:r>
      <w:r>
        <w:rPr>
          <w:rFonts w:eastAsia="楷体_GB2312"/>
          <w:sz w:val="24"/>
        </w:rPr>
        <w:t>10.6</w:t>
      </w:r>
      <w:r>
        <w:rPr>
          <w:rFonts w:eastAsia="楷体_GB2312"/>
          <w:sz w:val="24"/>
        </w:rPr>
        <w:fldChar w:fldCharType="end"/>
      </w:r>
      <w:r>
        <w:rPr>
          <w:rFonts w:eastAsia="楷体_GB2312"/>
          <w:sz w:val="24"/>
        </w:rPr>
        <w:t>款约定的顺序进行分配。</w:t>
      </w:r>
    </w:p>
    <w:p w14:paraId="60B97E4C">
      <w:pPr>
        <w:numPr>
          <w:ilvl w:val="1"/>
          <w:numId w:val="4"/>
        </w:numPr>
        <w:tabs>
          <w:tab w:val="left" w:pos="992"/>
          <w:tab w:val="left" w:pos="1800"/>
          <w:tab w:val="left" w:pos="1980"/>
        </w:tabs>
        <w:spacing w:before="156" w:beforeLines="50" w:after="156" w:afterLines="50" w:line="360" w:lineRule="auto"/>
        <w:ind w:left="879" w:hanging="454"/>
        <w:outlineLvl w:val="1"/>
        <w:rPr>
          <w:rFonts w:eastAsia="楷体_GB2312"/>
          <w:b/>
          <w:sz w:val="24"/>
        </w:rPr>
      </w:pPr>
      <w:bookmarkStart w:id="637" w:name="_Toc151554381"/>
      <w:bookmarkStart w:id="638" w:name="_Toc152168214"/>
      <w:bookmarkStart w:id="639" w:name="_Toc172736632"/>
      <w:bookmarkStart w:id="640" w:name="_Toc152168770"/>
      <w:r>
        <w:rPr>
          <w:rFonts w:eastAsia="楷体_GB2312"/>
          <w:b/>
          <w:sz w:val="24"/>
        </w:rPr>
        <w:t>信托清算报告</w:t>
      </w:r>
      <w:bookmarkEnd w:id="637"/>
      <w:bookmarkEnd w:id="638"/>
      <w:bookmarkEnd w:id="639"/>
      <w:bookmarkEnd w:id="640"/>
    </w:p>
    <w:p w14:paraId="472F2085">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“受托人”应于“信托财产”清算完毕之日后【】日内依法出具信托清算报告，该信托清算报告应经“审计师”的审计。</w:t>
      </w:r>
    </w:p>
    <w:p w14:paraId="75FF7245">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“审计师”就信托清算报告出具审计报告后【】个“工作日”内，“受托人”应按照本合同第</w:t>
      </w:r>
      <w:r>
        <w:rPr>
          <w:rFonts w:eastAsia="楷体_GB2312"/>
          <w:sz w:val="24"/>
        </w:rPr>
        <w:fldChar w:fldCharType="begin"/>
      </w:r>
      <w:r>
        <w:rPr>
          <w:rFonts w:eastAsia="楷体_GB2312"/>
          <w:sz w:val="24"/>
        </w:rPr>
        <w:instrText xml:space="preserve"> REF _Ref173768358 \r \h  \* MERGEFORMAT </w:instrText>
      </w:r>
      <w:r>
        <w:rPr>
          <w:rFonts w:eastAsia="楷体_GB2312"/>
          <w:sz w:val="24"/>
        </w:rPr>
        <w:fldChar w:fldCharType="separate"/>
      </w:r>
      <w:r>
        <w:rPr>
          <w:rFonts w:eastAsia="楷体_GB2312"/>
          <w:sz w:val="24"/>
        </w:rPr>
        <w:t>21</w:t>
      </w:r>
      <w:r>
        <w:rPr>
          <w:rFonts w:eastAsia="楷体_GB2312"/>
          <w:sz w:val="24"/>
        </w:rPr>
        <w:fldChar w:fldCharType="end"/>
      </w:r>
      <w:r>
        <w:rPr>
          <w:rFonts w:eastAsia="楷体_GB2312"/>
          <w:sz w:val="24"/>
        </w:rPr>
        <w:t>条的约定披露经审计的信托清算报告，并按照本合同第</w:t>
      </w:r>
      <w:r>
        <w:rPr>
          <w:rFonts w:eastAsia="楷体_GB2312"/>
          <w:sz w:val="24"/>
        </w:rPr>
        <w:fldChar w:fldCharType="begin"/>
      </w:r>
      <w:r>
        <w:rPr>
          <w:rFonts w:eastAsia="楷体_GB2312"/>
          <w:sz w:val="24"/>
        </w:rPr>
        <w:instrText xml:space="preserve"> REF _Ref173768296 \r \h  \* MERGEFORMAT </w:instrText>
      </w:r>
      <w:r>
        <w:rPr>
          <w:rFonts w:eastAsia="楷体_GB2312"/>
          <w:sz w:val="24"/>
        </w:rPr>
        <w:fldChar w:fldCharType="separate"/>
      </w:r>
      <w:r>
        <w:rPr>
          <w:rFonts w:eastAsia="楷体_GB2312"/>
          <w:sz w:val="24"/>
        </w:rPr>
        <w:t>18</w:t>
      </w:r>
      <w:r>
        <w:rPr>
          <w:rFonts w:eastAsia="楷体_GB2312"/>
          <w:sz w:val="24"/>
        </w:rPr>
        <w:fldChar w:fldCharType="end"/>
      </w:r>
      <w:r>
        <w:rPr>
          <w:rFonts w:eastAsia="楷体_GB2312"/>
          <w:sz w:val="24"/>
        </w:rPr>
        <w:t>条的约定召开“资产支持证券持有人大会”，由“资产支持证券持有人大会”审查该信托清算报告，但由于“信托财产”全部变现完毕（含“清仓回购”）导致“信托”终止的或者“资产支持证券持有人大会”前期已根据本合同第</w:t>
      </w:r>
      <w:r>
        <w:rPr>
          <w:rFonts w:eastAsia="楷体_GB2312"/>
          <w:sz w:val="24"/>
        </w:rPr>
        <w:fldChar w:fldCharType="begin"/>
      </w:r>
      <w:r>
        <w:rPr>
          <w:rFonts w:eastAsia="楷体_GB2312"/>
          <w:sz w:val="24"/>
        </w:rPr>
        <w:instrText xml:space="preserve">REF _Ref170806054 \r \h \* MERGEFORMAT </w:instrText>
      </w:r>
      <w:r>
        <w:rPr>
          <w:rFonts w:eastAsia="楷体_GB2312"/>
          <w:sz w:val="24"/>
        </w:rPr>
        <w:fldChar w:fldCharType="separate"/>
      </w:r>
      <w:r>
        <w:rPr>
          <w:rFonts w:eastAsia="楷体_GB2312"/>
          <w:sz w:val="24"/>
        </w:rPr>
        <w:t>23.2</w:t>
      </w:r>
      <w:r>
        <w:rPr>
          <w:rFonts w:eastAsia="楷体_GB2312"/>
          <w:sz w:val="24"/>
        </w:rPr>
        <w:fldChar w:fldCharType="end"/>
      </w:r>
      <w:r>
        <w:rPr>
          <w:rFonts w:eastAsia="楷体_GB2312"/>
          <w:sz w:val="24"/>
        </w:rPr>
        <w:t>款的约定就“清算方案”形成有效决议的，无须召集“资产支持证券持有人大会”对该信托清算报告进行审查。信托清算报告公告期（公告期为30天）满，“资产支持证券持有人大会”对该信托清算报告没有异议或信托清算报告公告期满“资产支持证券持有人”未提出异议的，“受托人”就信托清算报告所列事项解除责任，但因“受托机构”的不当行为、过失、欺诈和违约而引起的责任除外。</w:t>
      </w:r>
    </w:p>
    <w:bookmarkEnd w:id="610"/>
    <w:p w14:paraId="63CFA6BE">
      <w:pPr>
        <w:numPr>
          <w:ilvl w:val="0"/>
          <w:numId w:val="4"/>
        </w:numPr>
        <w:spacing w:before="156" w:beforeLines="50" w:after="156" w:afterLines="50" w:line="360" w:lineRule="auto"/>
        <w:outlineLvl w:val="0"/>
        <w:rPr>
          <w:rFonts w:eastAsia="楷体_GB2312"/>
          <w:b/>
          <w:sz w:val="24"/>
        </w:rPr>
      </w:pPr>
      <w:bookmarkStart w:id="641" w:name="_Toc120276605"/>
      <w:bookmarkEnd w:id="641"/>
      <w:bookmarkStart w:id="642" w:name="_Toc120277373"/>
      <w:bookmarkEnd w:id="642"/>
      <w:bookmarkStart w:id="643" w:name="_Toc120277539"/>
      <w:bookmarkEnd w:id="643"/>
      <w:bookmarkStart w:id="644" w:name="_Toc120275203"/>
      <w:bookmarkEnd w:id="644"/>
      <w:bookmarkStart w:id="645" w:name="_Toc120276606"/>
      <w:bookmarkEnd w:id="645"/>
      <w:bookmarkStart w:id="646" w:name="_Toc120275202"/>
      <w:bookmarkEnd w:id="646"/>
      <w:bookmarkStart w:id="647" w:name="_Toc120277374"/>
      <w:bookmarkEnd w:id="647"/>
      <w:bookmarkStart w:id="648" w:name="_Toc150895755"/>
      <w:bookmarkEnd w:id="648"/>
      <w:bookmarkStart w:id="649" w:name="_Toc120277285"/>
      <w:bookmarkEnd w:id="649"/>
      <w:bookmarkStart w:id="650" w:name="_Toc120277284"/>
      <w:bookmarkEnd w:id="650"/>
      <w:bookmarkStart w:id="651" w:name="_Toc120277538"/>
      <w:bookmarkEnd w:id="651"/>
      <w:bookmarkStart w:id="652" w:name="_Toc110153479"/>
      <w:bookmarkStart w:id="653" w:name="_Toc221382868"/>
      <w:bookmarkStart w:id="654" w:name="_Toc111281854"/>
      <w:bookmarkStart w:id="655" w:name="_Toc402883954"/>
      <w:r>
        <w:rPr>
          <w:rFonts w:eastAsia="楷体_GB2312"/>
          <w:b/>
          <w:sz w:val="24"/>
        </w:rPr>
        <w:t>保</w:t>
      </w:r>
      <w:bookmarkStart w:id="656" w:name="_Toc106417447"/>
      <w:bookmarkEnd w:id="656"/>
      <w:bookmarkStart w:id="657" w:name="_Toc106417449"/>
      <w:bookmarkEnd w:id="657"/>
      <w:bookmarkStart w:id="658" w:name="_Toc106417451"/>
      <w:bookmarkEnd w:id="658"/>
      <w:bookmarkStart w:id="659" w:name="_Toc106417453"/>
      <w:bookmarkEnd w:id="659"/>
      <w:bookmarkStart w:id="660" w:name="_Toc106417450"/>
      <w:bookmarkEnd w:id="660"/>
      <w:bookmarkStart w:id="661" w:name="_Toc106417448"/>
      <w:bookmarkEnd w:id="661"/>
      <w:r>
        <w:rPr>
          <w:rFonts w:eastAsia="楷体_GB2312"/>
          <w:b/>
          <w:sz w:val="24"/>
        </w:rPr>
        <w:t>密</w:t>
      </w:r>
      <w:bookmarkStart w:id="662" w:name="_Toc92612961"/>
      <w:r>
        <w:rPr>
          <w:rFonts w:eastAsia="楷体_GB2312"/>
          <w:b/>
          <w:sz w:val="24"/>
        </w:rPr>
        <w:t>条款</w:t>
      </w:r>
      <w:bookmarkEnd w:id="652"/>
      <w:bookmarkEnd w:id="653"/>
      <w:bookmarkEnd w:id="654"/>
      <w:bookmarkEnd w:id="655"/>
    </w:p>
    <w:bookmarkEnd w:id="662"/>
    <w:p w14:paraId="303CB399">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663" w:name="_Toc110153480"/>
      <w:bookmarkStart w:id="664" w:name="_Ref107894767"/>
      <w:r>
        <w:rPr>
          <w:rFonts w:eastAsia="楷体_GB2312"/>
          <w:b/>
          <w:sz w:val="24"/>
        </w:rPr>
        <w:t>保密</w:t>
      </w:r>
      <w:bookmarkStart w:id="665" w:name="_Toc92612962"/>
      <w:r>
        <w:rPr>
          <w:rFonts w:eastAsia="楷体_GB2312"/>
          <w:b/>
          <w:sz w:val="24"/>
        </w:rPr>
        <w:t>义务</w:t>
      </w:r>
      <w:bookmarkEnd w:id="663"/>
      <w:bookmarkEnd w:id="664"/>
    </w:p>
    <w:p w14:paraId="23C2AFA1">
      <w:pPr>
        <w:spacing w:before="156" w:beforeLines="50" w:after="156" w:afterLines="50" w:line="360" w:lineRule="auto"/>
        <w:ind w:left="992"/>
        <w:rPr>
          <w:rFonts w:eastAsia="楷体_GB2312"/>
          <w:sz w:val="24"/>
        </w:rPr>
      </w:pPr>
      <w:r>
        <w:rPr>
          <w:rFonts w:eastAsia="楷体_GB2312"/>
          <w:sz w:val="24"/>
        </w:rPr>
        <w:t>“</w:t>
      </w:r>
      <w:r>
        <w:rPr>
          <w:rFonts w:eastAsia="楷体_GB2312"/>
          <w:bCs/>
          <w:sz w:val="24"/>
        </w:rPr>
        <w:t>委托人</w:t>
      </w:r>
      <w:r>
        <w:rPr>
          <w:rFonts w:eastAsia="楷体_GB2312"/>
          <w:sz w:val="24"/>
        </w:rPr>
        <w:t>”</w:t>
      </w:r>
      <w:r>
        <w:rPr>
          <w:rFonts w:eastAsia="楷体_GB2312"/>
          <w:bCs/>
          <w:sz w:val="24"/>
        </w:rPr>
        <w:t>、</w:t>
      </w:r>
      <w:r>
        <w:rPr>
          <w:rFonts w:eastAsia="楷体_GB2312"/>
          <w:sz w:val="24"/>
        </w:rPr>
        <w:t>“</w:t>
      </w:r>
      <w:r>
        <w:rPr>
          <w:rFonts w:eastAsia="楷体_GB2312"/>
          <w:bCs/>
          <w:sz w:val="24"/>
        </w:rPr>
        <w:t>受托</w:t>
      </w:r>
      <w:r>
        <w:rPr>
          <w:rFonts w:eastAsia="楷体_GB2312"/>
          <w:sz w:val="24"/>
        </w:rPr>
        <w:t>人”和“受益人”作为接受方于“信托”设立、管理、“信托利益”分配、“信托”终止清算等过程中所获得的其他方商业秘密以及其他未公开的信息，仅可由接受方为执行本合同需要披露给指定的第三方，并且仅在为执行本合同所需的范围内进行该等披露，但根据“中国”“法律”或监管部门要求应进行披露的除外。同时，应由该等第三方做出至少与本合同保密义务一样严格的保密承诺等，以防止该等第三方为个人利益使用保密信息或向任何其他第三方做出未经授权的任何披露。在任何情形下，本条所约定的保密义务应永久持续有效。</w:t>
      </w:r>
    </w:p>
    <w:bookmarkEnd w:id="665"/>
    <w:p w14:paraId="7ED86C0E">
      <w:pPr>
        <w:numPr>
          <w:ilvl w:val="1"/>
          <w:numId w:val="4"/>
        </w:numPr>
        <w:tabs>
          <w:tab w:val="left" w:pos="992"/>
        </w:tabs>
        <w:spacing w:before="156" w:beforeLines="50" w:after="156" w:afterLines="50" w:line="360" w:lineRule="auto"/>
        <w:ind w:left="879" w:hanging="454"/>
        <w:outlineLvl w:val="1"/>
        <w:rPr>
          <w:rFonts w:eastAsia="楷体_GB2312"/>
          <w:b/>
          <w:sz w:val="24"/>
        </w:rPr>
      </w:pPr>
      <w:bookmarkStart w:id="666" w:name="_Toc106417457"/>
      <w:bookmarkEnd w:id="666"/>
      <w:bookmarkStart w:id="667" w:name="_Toc106417456"/>
      <w:bookmarkEnd w:id="667"/>
      <w:bookmarkStart w:id="668" w:name="_Toc110153481"/>
      <w:r>
        <w:rPr>
          <w:rFonts w:eastAsia="楷体_GB2312"/>
          <w:b/>
          <w:sz w:val="24"/>
        </w:rPr>
        <w:t>违反</w:t>
      </w:r>
      <w:bookmarkStart w:id="669" w:name="_Toc92612963"/>
      <w:r>
        <w:rPr>
          <w:rFonts w:eastAsia="楷体_GB2312"/>
          <w:b/>
          <w:sz w:val="24"/>
        </w:rPr>
        <w:t>保密义务的赔偿责任</w:t>
      </w:r>
      <w:bookmarkEnd w:id="668"/>
    </w:p>
    <w:p w14:paraId="4FB65A9C">
      <w:pPr>
        <w:spacing w:before="156" w:beforeLines="50" w:after="156" w:afterLines="50" w:line="360" w:lineRule="auto"/>
        <w:ind w:left="992"/>
        <w:rPr>
          <w:rFonts w:eastAsia="楷体_GB2312"/>
          <w:b/>
          <w:bCs/>
          <w:sz w:val="24"/>
        </w:rPr>
      </w:pPr>
      <w:r>
        <w:rPr>
          <w:rFonts w:eastAsia="楷体_GB2312"/>
          <w:bCs/>
          <w:sz w:val="24"/>
        </w:rPr>
        <w:t>任何一方违反第</w:t>
      </w:r>
      <w:r>
        <w:rPr>
          <w:rFonts w:eastAsia="楷体_GB2312"/>
          <w:sz w:val="24"/>
        </w:rPr>
        <w:fldChar w:fldCharType="begin"/>
      </w:r>
      <w:r>
        <w:rPr>
          <w:rFonts w:eastAsia="楷体_GB2312"/>
          <w:sz w:val="24"/>
        </w:rPr>
        <w:instrText xml:space="preserve"> REF _Ref107894767 \r \h  \* MERGEFORMAT </w:instrText>
      </w:r>
      <w:r>
        <w:rPr>
          <w:rFonts w:eastAsia="楷体_GB2312"/>
          <w:sz w:val="24"/>
        </w:rPr>
        <w:fldChar w:fldCharType="separate"/>
      </w:r>
      <w:r>
        <w:rPr>
          <w:rFonts w:eastAsia="楷体_GB2312"/>
          <w:bCs/>
          <w:sz w:val="24"/>
        </w:rPr>
        <w:t>24.1</w:t>
      </w:r>
      <w:r>
        <w:rPr>
          <w:rFonts w:eastAsia="楷体_GB2312"/>
          <w:bCs/>
          <w:sz w:val="24"/>
        </w:rPr>
        <w:fldChar w:fldCharType="end"/>
      </w:r>
      <w:r>
        <w:rPr>
          <w:rFonts w:eastAsia="楷体_GB2312"/>
          <w:bCs/>
          <w:sz w:val="24"/>
        </w:rPr>
        <w:t>款的约定，应承担由此给另一方或</w:t>
      </w:r>
      <w:r>
        <w:rPr>
          <w:rFonts w:eastAsia="楷体_GB2312"/>
          <w:sz w:val="24"/>
        </w:rPr>
        <w:t>“</w:t>
      </w:r>
      <w:r>
        <w:rPr>
          <w:rFonts w:eastAsia="楷体_GB2312"/>
          <w:bCs/>
          <w:sz w:val="24"/>
        </w:rPr>
        <w:t>信托财产</w:t>
      </w:r>
      <w:r>
        <w:rPr>
          <w:rFonts w:eastAsia="楷体_GB2312"/>
          <w:sz w:val="24"/>
        </w:rPr>
        <w:t>”</w:t>
      </w:r>
      <w:r>
        <w:rPr>
          <w:rFonts w:eastAsia="楷体_GB2312"/>
          <w:bCs/>
          <w:sz w:val="24"/>
        </w:rPr>
        <w:t>造成的损失。</w:t>
      </w:r>
    </w:p>
    <w:bookmarkEnd w:id="669"/>
    <w:p w14:paraId="21BEE086">
      <w:pPr>
        <w:numPr>
          <w:ilvl w:val="0"/>
          <w:numId w:val="4"/>
        </w:numPr>
        <w:spacing w:before="156" w:beforeLines="50" w:after="156" w:afterLines="50" w:line="360" w:lineRule="auto"/>
        <w:outlineLvl w:val="0"/>
        <w:rPr>
          <w:rFonts w:eastAsia="楷体_GB2312"/>
          <w:b/>
          <w:sz w:val="24"/>
        </w:rPr>
      </w:pPr>
      <w:bookmarkStart w:id="670" w:name="_Toc111281855"/>
      <w:bookmarkStart w:id="671" w:name="_Toc402883955"/>
      <w:bookmarkStart w:id="672" w:name="_Toc221382869"/>
      <w:bookmarkStart w:id="673" w:name="_Toc110153482"/>
      <w:r>
        <w:rPr>
          <w:rFonts w:eastAsia="楷体_GB2312"/>
          <w:b/>
          <w:sz w:val="24"/>
        </w:rPr>
        <w:t>违</w:t>
      </w:r>
      <w:bookmarkStart w:id="674" w:name="_Toc106417460"/>
      <w:bookmarkEnd w:id="674"/>
      <w:bookmarkStart w:id="675" w:name="_Toc106417459"/>
      <w:bookmarkEnd w:id="675"/>
      <w:r>
        <w:rPr>
          <w:rFonts w:eastAsia="楷体_GB2312"/>
          <w:b/>
          <w:sz w:val="24"/>
        </w:rPr>
        <w:t>约</w:t>
      </w:r>
      <w:bookmarkStart w:id="676" w:name="_Toc92612964"/>
      <w:r>
        <w:rPr>
          <w:rFonts w:eastAsia="楷体_GB2312"/>
          <w:b/>
          <w:sz w:val="24"/>
        </w:rPr>
        <w:t>责任</w:t>
      </w:r>
      <w:bookmarkEnd w:id="670"/>
      <w:bookmarkEnd w:id="671"/>
      <w:bookmarkEnd w:id="672"/>
      <w:bookmarkEnd w:id="673"/>
    </w:p>
    <w:bookmarkEnd w:id="676"/>
    <w:p w14:paraId="32B843F4">
      <w:pPr>
        <w:spacing w:before="156" w:beforeLines="50" w:after="156" w:afterLines="50" w:line="360" w:lineRule="auto"/>
        <w:ind w:left="425"/>
        <w:rPr>
          <w:rFonts w:eastAsia="楷体_GB2312"/>
          <w:sz w:val="24"/>
        </w:rPr>
      </w:pPr>
      <w:r>
        <w:rPr>
          <w:rFonts w:eastAsia="楷体_GB2312"/>
          <w:sz w:val="24"/>
        </w:rPr>
        <w:t>如“委托人”、“受托人”或“受益人”未履行其在本合同项下的义务，或一方在本合同项下的声明、陈述、保证严重失实或不准确，则视为该方违约。本合同的违约方应向守约方承担继续履行、采取补救措施、赔偿守约方因此遭受的直接实际损失的违约责任。</w:t>
      </w:r>
    </w:p>
    <w:p w14:paraId="6213C839">
      <w:pPr>
        <w:numPr>
          <w:ilvl w:val="0"/>
          <w:numId w:val="4"/>
        </w:numPr>
        <w:spacing w:before="156" w:beforeLines="50" w:after="156" w:afterLines="50" w:line="360" w:lineRule="auto"/>
        <w:outlineLvl w:val="0"/>
        <w:rPr>
          <w:rFonts w:eastAsia="楷体_GB2312"/>
          <w:b/>
          <w:sz w:val="24"/>
        </w:rPr>
      </w:pPr>
      <w:bookmarkStart w:id="677" w:name="_Toc402883956"/>
      <w:bookmarkStart w:id="678" w:name="_Toc221382870"/>
      <w:bookmarkStart w:id="679" w:name="_Toc111281856"/>
      <w:bookmarkStart w:id="680" w:name="_Toc110153483"/>
      <w:r>
        <w:rPr>
          <w:rFonts w:eastAsia="楷体_GB2312"/>
          <w:b/>
          <w:sz w:val="24"/>
        </w:rPr>
        <w:t>不可抗力</w:t>
      </w:r>
      <w:bookmarkEnd w:id="677"/>
      <w:bookmarkEnd w:id="678"/>
      <w:bookmarkEnd w:id="679"/>
    </w:p>
    <w:p w14:paraId="2BF511B8">
      <w:pPr>
        <w:numPr>
          <w:ilvl w:val="1"/>
          <w:numId w:val="4"/>
        </w:numPr>
        <w:tabs>
          <w:tab w:val="left" w:pos="992"/>
        </w:tabs>
        <w:spacing w:before="156" w:beforeLines="50" w:after="156" w:afterLines="50" w:line="360" w:lineRule="auto"/>
        <w:ind w:left="992" w:hanging="567"/>
        <w:rPr>
          <w:rFonts w:eastAsia="楷体_GB2312"/>
          <w:b/>
          <w:sz w:val="24"/>
        </w:rPr>
      </w:pPr>
      <w:r>
        <w:rPr>
          <w:rFonts w:eastAsia="楷体_GB2312"/>
          <w:sz w:val="24"/>
        </w:rPr>
        <w:t>不可抗力是指本合同一方不能合理控制、不可预见或即使预见亦无法避免的事件，该事件妨碍、影响或延误任何一方根据本合同履行其全部或部分义务。该事件包括但不限于地震、台风、洪水、火灾、瘟疫、其他天灾、战争、政变、骚乱、罢工或其他类似事件，以及“中国”“法律”或国家政策颁布或对原“中国”“法律”或国家政策的修改等因素。</w:t>
      </w:r>
    </w:p>
    <w:p w14:paraId="73B57F9B">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如发生不可抗力事件，则遭受该事件的一方应立即用可能的快捷方式通知对方，并在【】日内提供证明文件说明有关事件的细节和不能履行或部分不能履行或需延迟履行本合同的原因。合同双方应在协商一致的基础上决定是否延期履行本合同或终止本合同，并达成书面协议。</w:t>
      </w:r>
    </w:p>
    <w:p w14:paraId="14ED4D41">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如果</w:t>
      </w:r>
      <w:bookmarkStart w:id="681" w:name="_DV_M590"/>
      <w:bookmarkEnd w:id="681"/>
      <w:bookmarkStart w:id="682" w:name="_Toc207007319"/>
      <w:bookmarkStart w:id="683" w:name="_Toc201569471"/>
      <w:r>
        <w:rPr>
          <w:rFonts w:eastAsia="楷体_GB2312"/>
          <w:sz w:val="24"/>
        </w:rPr>
        <w:t>发生不可抗力事件致使“委托人”或“受托人”为本合同项下交易提供服务的通信或计算机设备无法工作，或为本合同项下交易提供服务的相关设备或</w:t>
      </w:r>
      <w:bookmarkStart w:id="684" w:name="_Toc389048986"/>
      <w:bookmarkEnd w:id="684"/>
      <w:bookmarkStart w:id="685" w:name="_Toc388880638"/>
      <w:bookmarkEnd w:id="685"/>
      <w:r>
        <w:rPr>
          <w:rFonts w:eastAsia="楷体_GB2312"/>
          <w:sz w:val="24"/>
        </w:rPr>
        <w:t>上述设备</w:t>
      </w:r>
      <w:bookmarkEnd w:id="682"/>
      <w:bookmarkEnd w:id="683"/>
      <w:r>
        <w:rPr>
          <w:rFonts w:eastAsia="楷体_GB2312"/>
          <w:sz w:val="24"/>
        </w:rPr>
        <w:t>无法操作，或不能履行或迟延履行本合同项下之各项义务，则“委托人”或“受托人”对无法履行或迟延履行其在本合同项下的义务不承担任何责任，但“委托人”或“受托人”迟延履行其在本合同项下义务后发生不可抗力的，“委托人”或“受托人”对无法履行或迟延履行其在本合同项下的义务不能免除责任。“委托人”或“受托人”在不可抗力发生后，应尽最大努力减少由此可能造成的损失。</w:t>
      </w:r>
    </w:p>
    <w:p w14:paraId="6EB97879">
      <w:pPr>
        <w:numPr>
          <w:ilvl w:val="0"/>
          <w:numId w:val="4"/>
        </w:numPr>
        <w:spacing w:before="156" w:beforeLines="50" w:after="156" w:afterLines="50" w:line="360" w:lineRule="auto"/>
        <w:outlineLvl w:val="0"/>
        <w:rPr>
          <w:rFonts w:eastAsia="楷体_GB2312"/>
          <w:b/>
          <w:sz w:val="24"/>
        </w:rPr>
      </w:pPr>
      <w:bookmarkStart w:id="686" w:name="_Toc221382871"/>
      <w:bookmarkStart w:id="687" w:name="_Toc111281857"/>
      <w:bookmarkStart w:id="688" w:name="_Ref111020368"/>
      <w:bookmarkStart w:id="689" w:name="_Toc402883957"/>
      <w:r>
        <w:rPr>
          <w:rFonts w:eastAsia="楷体_GB2312"/>
          <w:b/>
          <w:sz w:val="24"/>
        </w:rPr>
        <w:t>法律</w:t>
      </w:r>
      <w:bookmarkStart w:id="690" w:name="_Toc92612965"/>
      <w:r>
        <w:rPr>
          <w:rFonts w:eastAsia="楷体_GB2312"/>
          <w:b/>
          <w:sz w:val="24"/>
        </w:rPr>
        <w:t>适用和争议解决</w:t>
      </w:r>
      <w:bookmarkEnd w:id="680"/>
      <w:bookmarkEnd w:id="686"/>
      <w:bookmarkEnd w:id="687"/>
      <w:bookmarkEnd w:id="688"/>
      <w:bookmarkEnd w:id="689"/>
    </w:p>
    <w:bookmarkEnd w:id="690"/>
    <w:p w14:paraId="5C4FAD32">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本合同的订立、生效、履行、解释、修改、争议解决和终止等事项适用现行“中国”“法律”。</w:t>
      </w:r>
    </w:p>
    <w:p w14:paraId="77B43F16">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对于“委托人”和“受托人”在履行本合同中发生的争议，由双方协商解决。如争议在本合同一方向对方发出通知后【】日内仍未获解决，则任何一方均有权将争议提交至【本合同签署地有管辖权的人民法院通过诉讼解决】。除非生效判决另有规定，诉讼各方为诉讼而实际支付的费用（包括但不限于诉讼费和合理的律师费）由败诉方承担。</w:t>
      </w:r>
    </w:p>
    <w:p w14:paraId="58E52CB8">
      <w:pPr>
        <w:spacing w:before="156" w:beforeLines="50" w:after="156" w:afterLines="50" w:line="360" w:lineRule="auto"/>
        <w:ind w:left="993"/>
        <w:rPr>
          <w:rFonts w:eastAsia="楷体_GB2312"/>
          <w:b/>
          <w:i/>
          <w:color w:val="FF0000"/>
          <w:sz w:val="24"/>
        </w:rPr>
      </w:pPr>
      <w:r>
        <w:rPr>
          <w:rFonts w:eastAsia="楷体_GB2312"/>
          <w:b/>
          <w:i/>
          <w:color w:val="FF0000"/>
          <w:sz w:val="24"/>
        </w:rPr>
        <w:t>【注：争议解决的方式和地点，可根据项目安排进行调整。】</w:t>
      </w:r>
    </w:p>
    <w:p w14:paraId="6AF18740">
      <w:pPr>
        <w:numPr>
          <w:ilvl w:val="1"/>
          <w:numId w:val="4"/>
        </w:numPr>
        <w:tabs>
          <w:tab w:val="left" w:pos="992"/>
        </w:tabs>
        <w:spacing w:before="156" w:beforeLines="50" w:after="156" w:afterLines="50" w:line="360" w:lineRule="auto"/>
        <w:ind w:left="992" w:hanging="567"/>
        <w:rPr>
          <w:rFonts w:eastAsia="楷体_GB2312"/>
          <w:sz w:val="24"/>
        </w:rPr>
      </w:pPr>
      <w:r>
        <w:rPr>
          <w:rFonts w:eastAsia="楷体_GB2312"/>
          <w:sz w:val="24"/>
        </w:rPr>
        <w:t>在诉讼过程中，除双方有争议正在进行诉讼的事项以外，双方应继续履行其他部分的义务。</w:t>
      </w:r>
    </w:p>
    <w:p w14:paraId="4EDE9E7B">
      <w:pPr>
        <w:numPr>
          <w:ilvl w:val="0"/>
          <w:numId w:val="4"/>
        </w:numPr>
        <w:spacing w:before="156" w:beforeLines="50" w:after="156" w:afterLines="50" w:line="360" w:lineRule="auto"/>
        <w:outlineLvl w:val="0"/>
        <w:rPr>
          <w:rFonts w:eastAsia="楷体_GB2312"/>
          <w:b/>
          <w:sz w:val="24"/>
        </w:rPr>
      </w:pPr>
      <w:bookmarkStart w:id="691" w:name="_Toc417048721"/>
      <w:bookmarkStart w:id="692" w:name="_Toc207007321"/>
      <w:bookmarkStart w:id="693" w:name="_Toc221382872"/>
      <w:bookmarkStart w:id="694" w:name="_Toc509133845"/>
      <w:bookmarkStart w:id="695" w:name="_Toc111281858"/>
      <w:bookmarkStart w:id="696" w:name="_Toc402883958"/>
      <w:bookmarkStart w:id="697" w:name="_Toc110153484"/>
      <w:r>
        <w:rPr>
          <w:rFonts w:eastAsia="楷体_GB2312"/>
          <w:b/>
          <w:sz w:val="24"/>
        </w:rPr>
        <w:t>有限追索和诉讼禁止</w:t>
      </w:r>
      <w:bookmarkEnd w:id="691"/>
      <w:bookmarkEnd w:id="692"/>
      <w:bookmarkEnd w:id="693"/>
      <w:bookmarkEnd w:id="694"/>
    </w:p>
    <w:p w14:paraId="4D72B4D1">
      <w:pPr>
        <w:spacing w:before="156" w:beforeLines="50" w:after="156" w:afterLines="50" w:line="360" w:lineRule="auto"/>
        <w:ind w:left="425"/>
        <w:rPr>
          <w:rFonts w:eastAsia="楷体_GB2312"/>
          <w:sz w:val="24"/>
        </w:rPr>
      </w:pPr>
      <w:r>
        <w:rPr>
          <w:rFonts w:eastAsia="楷体_GB2312"/>
          <w:sz w:val="24"/>
        </w:rPr>
        <w:t>本合同项下各信托当事人同意，“受托人”对“资产支持证券”的收益不作任何保证或担保，“资产支持证券”仅代表“信托受益权”的相应份额，不构成“受托人”的负债，除针对“受托人”提起的因其自身过失、欺诈、故意的不当行为或违反“交易文件”项下的义务而提起的诉讼或仲裁，针对“信托”、“受托人”、“信托”的义务以及“受托人”在“资产支持证券”项下的义务的追索权，只限于“信托财产”以及按照“《信托合同》”确定的顺序不时可供使用的金额。对于根据本合同运用“信托财产”及/或其实现的收益后仍未满足的“资产支持证券”项下的金额，“资产支持证券持有人”针对“信托”或“受托人”不享有索赔或追索权，在这种情况下，“资产支持证券”项下的权利应被放弃或消灭。本合同项下各信托当事人承诺，在“信托”的存续期间（自“信托生效日”起至“信托终止日”），任何一方不得为终止“信托”的目的而提起任何诉讼或仲裁程序；为避免疑问，本条不限制任何一方因其他方的欺诈、违约、故意的不当行为或疏忽所遭受的损失而针对该方提起的诉讼或仲裁程序。</w:t>
      </w:r>
    </w:p>
    <w:p w14:paraId="448F917D">
      <w:pPr>
        <w:numPr>
          <w:ilvl w:val="0"/>
          <w:numId w:val="4"/>
        </w:numPr>
        <w:spacing w:before="156" w:beforeLines="50" w:after="156" w:afterLines="50" w:line="360" w:lineRule="auto"/>
        <w:outlineLvl w:val="0"/>
        <w:rPr>
          <w:rFonts w:eastAsia="楷体_GB2312"/>
          <w:b/>
          <w:sz w:val="24"/>
        </w:rPr>
      </w:pPr>
      <w:bookmarkStart w:id="698" w:name="_Toc388880644"/>
      <w:bookmarkEnd w:id="698"/>
      <w:bookmarkStart w:id="699" w:name="_Toc389145751"/>
      <w:bookmarkEnd w:id="699"/>
      <w:bookmarkStart w:id="700" w:name="_Toc389048992"/>
      <w:bookmarkEnd w:id="700"/>
      <w:bookmarkStart w:id="701" w:name="_Toc146102907"/>
      <w:bookmarkStart w:id="702" w:name="_Toc173872461"/>
      <w:bookmarkStart w:id="703" w:name="_Toc221382873"/>
      <w:bookmarkStart w:id="704" w:name="_Toc199759413"/>
      <w:bookmarkStart w:id="705" w:name="_Toc417048722"/>
      <w:bookmarkStart w:id="706" w:name="_Toc509133846"/>
      <w:bookmarkStart w:id="707" w:name="_Toc207007322"/>
      <w:r>
        <w:rPr>
          <w:rFonts w:eastAsia="楷体_GB2312"/>
          <w:b/>
          <w:sz w:val="24"/>
        </w:rPr>
        <w:t>合同的转让</w:t>
      </w:r>
      <w:bookmarkEnd w:id="701"/>
      <w:bookmarkEnd w:id="702"/>
      <w:bookmarkEnd w:id="703"/>
      <w:bookmarkEnd w:id="704"/>
      <w:bookmarkEnd w:id="705"/>
      <w:bookmarkEnd w:id="706"/>
      <w:bookmarkEnd w:id="707"/>
    </w:p>
    <w:p w14:paraId="52CD40E6">
      <w:pPr>
        <w:numPr>
          <w:ilvl w:val="1"/>
          <w:numId w:val="4"/>
        </w:numPr>
        <w:tabs>
          <w:tab w:val="left" w:pos="992"/>
        </w:tabs>
        <w:spacing w:before="156" w:beforeLines="50" w:after="156" w:afterLines="50" w:line="360" w:lineRule="auto"/>
        <w:ind w:left="992" w:hanging="567"/>
        <w:rPr>
          <w:rFonts w:eastAsia="楷体_GB2312"/>
          <w:sz w:val="24"/>
        </w:rPr>
      </w:pPr>
      <w:bookmarkStart w:id="708" w:name="_DV_M327"/>
      <w:bookmarkEnd w:id="708"/>
      <w:r>
        <w:rPr>
          <w:rFonts w:eastAsia="楷体_GB2312"/>
          <w:sz w:val="24"/>
        </w:rPr>
        <w:t>除非本合同另有约定，未经本合同双方事先书面同意并事先通知“评级机构”，任何一方不得转让其在本合同项下的权利或义务，或在前述权利或义务上向第三方设定质押或其他担保。</w:t>
      </w:r>
    </w:p>
    <w:p w14:paraId="273FA540">
      <w:pPr>
        <w:numPr>
          <w:ilvl w:val="1"/>
          <w:numId w:val="4"/>
        </w:numPr>
        <w:tabs>
          <w:tab w:val="left" w:pos="992"/>
        </w:tabs>
        <w:spacing w:before="156" w:beforeLines="50" w:after="156" w:afterLines="50" w:line="360" w:lineRule="auto"/>
        <w:ind w:left="992" w:hanging="567"/>
        <w:rPr>
          <w:rFonts w:eastAsia="楷体_GB2312"/>
          <w:sz w:val="24"/>
        </w:rPr>
      </w:pPr>
      <w:bookmarkStart w:id="709" w:name="_DV_M328"/>
      <w:bookmarkEnd w:id="709"/>
      <w:bookmarkStart w:id="710" w:name="_Ref111374751"/>
      <w:r>
        <w:rPr>
          <w:rFonts w:eastAsia="楷体_GB2312"/>
          <w:sz w:val="24"/>
        </w:rPr>
        <w:t>本合同对双方及其继任者、允许的受让人均具有约束力。</w:t>
      </w:r>
    </w:p>
    <w:p w14:paraId="4FB35F17">
      <w:pPr>
        <w:numPr>
          <w:ilvl w:val="1"/>
          <w:numId w:val="4"/>
        </w:numPr>
        <w:tabs>
          <w:tab w:val="left" w:pos="992"/>
        </w:tabs>
        <w:spacing w:before="156" w:beforeLines="50" w:after="156" w:afterLines="50" w:line="360" w:lineRule="auto"/>
        <w:ind w:left="992" w:hanging="567"/>
        <w:rPr>
          <w:rFonts w:eastAsia="楷体_GB2312"/>
          <w:sz w:val="24"/>
        </w:rPr>
      </w:pPr>
      <w:bookmarkStart w:id="711" w:name="_DV_M329"/>
      <w:bookmarkEnd w:id="711"/>
      <w:r>
        <w:rPr>
          <w:rFonts w:eastAsia="楷体_GB2312"/>
          <w:sz w:val="24"/>
        </w:rPr>
        <w:t>如“受托人”根据本合同的约定被更换，则其继任者将承继被更换“受托人”在本合同项下的权利义务。</w:t>
      </w:r>
      <w:bookmarkEnd w:id="710"/>
    </w:p>
    <w:p w14:paraId="2F53E334">
      <w:pPr>
        <w:numPr>
          <w:ilvl w:val="0"/>
          <w:numId w:val="4"/>
        </w:numPr>
        <w:spacing w:before="156" w:beforeLines="50" w:after="156" w:afterLines="50" w:line="360" w:lineRule="auto"/>
        <w:outlineLvl w:val="0"/>
        <w:rPr>
          <w:rFonts w:eastAsia="楷体_GB2312"/>
          <w:b/>
          <w:sz w:val="24"/>
        </w:rPr>
      </w:pPr>
      <w:bookmarkStart w:id="712" w:name="_Toc221382874"/>
      <w:r>
        <w:rPr>
          <w:rFonts w:eastAsia="楷体_GB2312"/>
          <w:b/>
          <w:sz w:val="24"/>
        </w:rPr>
        <w:t>通知</w:t>
      </w:r>
      <w:bookmarkStart w:id="713" w:name="_Toc92612966"/>
      <w:r>
        <w:rPr>
          <w:rFonts w:eastAsia="楷体_GB2312"/>
          <w:b/>
          <w:sz w:val="24"/>
        </w:rPr>
        <w:t>和送达</w:t>
      </w:r>
      <w:bookmarkEnd w:id="695"/>
      <w:bookmarkEnd w:id="696"/>
      <w:bookmarkEnd w:id="697"/>
      <w:bookmarkEnd w:id="712"/>
    </w:p>
    <w:p w14:paraId="4040004E">
      <w:pPr>
        <w:numPr>
          <w:ilvl w:val="1"/>
          <w:numId w:val="4"/>
        </w:numPr>
        <w:tabs>
          <w:tab w:val="left" w:pos="992"/>
        </w:tabs>
        <w:spacing w:before="156" w:beforeLines="50" w:after="156" w:afterLines="50" w:line="360" w:lineRule="auto"/>
        <w:ind w:left="879" w:hanging="454"/>
        <w:rPr>
          <w:rFonts w:eastAsia="楷体_GB2312"/>
          <w:b/>
          <w:sz w:val="24"/>
        </w:rPr>
      </w:pPr>
      <w:r>
        <w:rPr>
          <w:rFonts w:eastAsia="楷体_GB2312"/>
          <w:b/>
          <w:sz w:val="24"/>
        </w:rPr>
        <w:t>委托人和受托人使用的通知和送达方式</w:t>
      </w:r>
    </w:p>
    <w:bookmarkEnd w:id="713"/>
    <w:p w14:paraId="725895F0">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“委托人”与“受托人”在本合同中列明的注册地址为双方同意的通讯地址。双方按通讯地址或联络方式以专人送达、特快专递、挂号信件、电子邮件或传真，或在</w:t>
      </w:r>
      <w:r>
        <w:rPr>
          <w:rFonts w:eastAsia="楷体_GB2312"/>
          <w:color w:val="000000"/>
          <w:sz w:val="24"/>
        </w:rPr>
        <w:t>“交易商协会”综合业务和信息服务平台、中国货币网、中国债券信息网、“北金所”官方网站及“交易商协会”认可的其他方式</w:t>
      </w:r>
      <w:r>
        <w:rPr>
          <w:rFonts w:eastAsia="楷体_GB2312"/>
          <w:sz w:val="24"/>
        </w:rPr>
        <w:t>进行相关的信息披露等有效方式，就处理信托事务过程中需要通知的事项通知相对方。</w:t>
      </w:r>
    </w:p>
    <w:p w14:paraId="4B7CFDB7">
      <w:pPr>
        <w:spacing w:before="156" w:beforeLines="50" w:after="156" w:afterLines="50" w:line="360" w:lineRule="auto"/>
        <w:ind w:left="1843"/>
        <w:rPr>
          <w:rFonts w:eastAsia="楷体_GB2312"/>
          <w:color w:val="FF0000"/>
          <w:sz w:val="24"/>
        </w:rPr>
      </w:pPr>
      <w:r>
        <w:rPr>
          <w:rFonts w:eastAsia="楷体_GB2312"/>
          <w:b/>
          <w:i/>
          <w:color w:val="FF0000"/>
          <w:sz w:val="24"/>
        </w:rPr>
        <w:t>【注：对信息披露方式的约定应根据届时适用的信息披露规则进行调整。】</w:t>
      </w:r>
    </w:p>
    <w:p w14:paraId="151E341E">
      <w:pPr>
        <w:spacing w:before="156" w:beforeLines="50" w:after="156" w:afterLines="50" w:line="360" w:lineRule="auto"/>
        <w:ind w:left="1843"/>
        <w:rPr>
          <w:rFonts w:eastAsia="楷体_GB2312"/>
          <w:sz w:val="24"/>
        </w:rPr>
      </w:pPr>
      <w:r>
        <w:rPr>
          <w:rFonts w:eastAsia="楷体_GB2312"/>
          <w:sz w:val="24"/>
        </w:rPr>
        <w:t>“评级机构”的通讯方式如下：</w:t>
      </w:r>
    </w:p>
    <w:tbl>
      <w:tblPr>
        <w:tblStyle w:val="27"/>
        <w:tblW w:w="8473" w:type="dxa"/>
        <w:tblInd w:w="918" w:type="dxa"/>
        <w:tblLayout w:type="fixed"/>
        <w:tblCellMar>
          <w:top w:w="0" w:type="dxa"/>
          <w:left w:w="108" w:type="dxa"/>
          <w:bottom w:w="0" w:type="dxa"/>
          <w:right w:w="108" w:type="dxa"/>
        </w:tblCellMar>
      </w:tblPr>
      <w:tblGrid>
        <w:gridCol w:w="1492"/>
        <w:gridCol w:w="6981"/>
      </w:tblGrid>
      <w:tr w14:paraId="0066452F">
        <w:tblPrEx>
          <w:tblCellMar>
            <w:top w:w="0" w:type="dxa"/>
            <w:left w:w="108" w:type="dxa"/>
            <w:bottom w:w="0" w:type="dxa"/>
            <w:right w:w="108" w:type="dxa"/>
          </w:tblCellMar>
        </w:tblPrEx>
        <w:tc>
          <w:tcPr>
            <w:tcW w:w="1492" w:type="dxa"/>
            <w:tcBorders>
              <w:top w:val="nil"/>
              <w:left w:val="nil"/>
              <w:bottom w:val="nil"/>
              <w:right w:val="nil"/>
            </w:tcBorders>
          </w:tcPr>
          <w:p w14:paraId="42C2262F">
            <w:pPr>
              <w:spacing w:before="156" w:beforeLines="50" w:after="156" w:afterLines="50" w:line="360" w:lineRule="auto"/>
              <w:rPr>
                <w:rFonts w:eastAsia="楷体_GB2312"/>
                <w:sz w:val="24"/>
                <w:lang w:val="en-GB"/>
              </w:rPr>
            </w:pPr>
            <w:r>
              <w:rPr>
                <w:rFonts w:eastAsia="楷体_GB2312"/>
                <w:sz w:val="24"/>
              </w:rPr>
              <w:t>评级机构：</w:t>
            </w:r>
          </w:p>
        </w:tc>
        <w:tc>
          <w:tcPr>
            <w:tcW w:w="6981" w:type="dxa"/>
            <w:tcBorders>
              <w:top w:val="nil"/>
              <w:left w:val="nil"/>
              <w:bottom w:val="nil"/>
              <w:right w:val="nil"/>
            </w:tcBorders>
          </w:tcPr>
          <w:p w14:paraId="2D3FB743">
            <w:pPr>
              <w:spacing w:before="156" w:beforeLines="50" w:after="156" w:afterLines="50" w:line="360" w:lineRule="auto"/>
              <w:rPr>
                <w:rFonts w:eastAsia="楷体_GB2312"/>
                <w:sz w:val="24"/>
              </w:rPr>
            </w:pPr>
            <w:r>
              <w:rPr>
                <w:rFonts w:eastAsia="楷体_GB2312"/>
                <w:b/>
                <w:sz w:val="24"/>
                <w:lang w:val="en-GB"/>
              </w:rPr>
              <w:t>【评级机构1全称】</w:t>
            </w:r>
            <w:r>
              <w:rPr>
                <w:rFonts w:eastAsia="楷体_GB2312"/>
                <w:sz w:val="24"/>
              </w:rPr>
              <w:br w:type="textWrapping"/>
            </w:r>
            <w:r>
              <w:rPr>
                <w:rFonts w:eastAsia="楷体_GB2312"/>
                <w:sz w:val="24"/>
              </w:rPr>
              <w:t>地址：【】</w:t>
            </w:r>
            <w:r>
              <w:rPr>
                <w:rFonts w:eastAsia="楷体_GB2312"/>
                <w:sz w:val="24"/>
              </w:rPr>
              <w:br w:type="textWrapping"/>
            </w:r>
            <w:r>
              <w:rPr>
                <w:rFonts w:eastAsia="楷体_GB2312"/>
                <w:sz w:val="24"/>
              </w:rPr>
              <w:t>联系人：【】</w:t>
            </w:r>
            <w:r>
              <w:rPr>
                <w:rFonts w:eastAsia="楷体_GB2312"/>
                <w:sz w:val="24"/>
              </w:rPr>
              <w:br w:type="textWrapping"/>
            </w:r>
            <w:r>
              <w:rPr>
                <w:rFonts w:eastAsia="楷体_GB2312"/>
                <w:sz w:val="24"/>
              </w:rPr>
              <w:t>联系电话：【】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电子邮箱：【】</w:t>
            </w:r>
            <w:r>
              <w:rPr>
                <w:rFonts w:eastAsia="楷体_GB2312"/>
                <w:sz w:val="24"/>
              </w:rPr>
              <w:br w:type="textWrapping"/>
            </w:r>
            <w:r>
              <w:rPr>
                <w:rFonts w:eastAsia="楷体_GB2312"/>
                <w:sz w:val="24"/>
              </w:rPr>
              <w:t>邮政编码：【】</w:t>
            </w:r>
            <w:r>
              <w:rPr>
                <w:rFonts w:eastAsia="楷体_GB2312"/>
                <w:sz w:val="24"/>
              </w:rPr>
              <w:br w:type="textWrapping"/>
            </w:r>
            <w:r>
              <w:rPr>
                <w:rFonts w:eastAsia="楷体_GB2312"/>
                <w:sz w:val="24"/>
              </w:rPr>
              <w:t>网址：【】</w:t>
            </w:r>
          </w:p>
        </w:tc>
      </w:tr>
      <w:tr w14:paraId="75025F86">
        <w:tblPrEx>
          <w:tblCellMar>
            <w:top w:w="0" w:type="dxa"/>
            <w:left w:w="108" w:type="dxa"/>
            <w:bottom w:w="0" w:type="dxa"/>
            <w:right w:w="108" w:type="dxa"/>
          </w:tblCellMar>
        </w:tblPrEx>
        <w:tc>
          <w:tcPr>
            <w:tcW w:w="1492" w:type="dxa"/>
            <w:tcBorders>
              <w:top w:val="nil"/>
              <w:left w:val="nil"/>
              <w:bottom w:val="nil"/>
              <w:right w:val="nil"/>
            </w:tcBorders>
          </w:tcPr>
          <w:p w14:paraId="6E78C642">
            <w:pPr>
              <w:spacing w:before="156" w:beforeLines="50" w:after="156" w:afterLines="50" w:line="360" w:lineRule="auto"/>
              <w:rPr>
                <w:rFonts w:eastAsia="楷体_GB2312"/>
                <w:sz w:val="24"/>
                <w:lang w:val="en-GB"/>
              </w:rPr>
            </w:pPr>
            <w:r>
              <w:rPr>
                <w:rFonts w:eastAsia="楷体_GB2312"/>
                <w:sz w:val="24"/>
              </w:rPr>
              <w:t>评级机构：</w:t>
            </w:r>
          </w:p>
        </w:tc>
        <w:tc>
          <w:tcPr>
            <w:tcW w:w="6981" w:type="dxa"/>
            <w:tcBorders>
              <w:top w:val="nil"/>
              <w:left w:val="nil"/>
              <w:bottom w:val="nil"/>
              <w:right w:val="nil"/>
            </w:tcBorders>
          </w:tcPr>
          <w:p w14:paraId="2A5AB5EF">
            <w:pPr>
              <w:spacing w:before="156" w:beforeLines="50" w:after="156" w:afterLines="50" w:line="360" w:lineRule="auto"/>
              <w:rPr>
                <w:rFonts w:eastAsia="楷体_GB2312"/>
                <w:sz w:val="24"/>
                <w:lang w:val="en-GB"/>
              </w:rPr>
            </w:pPr>
            <w:bookmarkStart w:id="714" w:name="_Hlk507252590"/>
            <w:r>
              <w:rPr>
                <w:rFonts w:eastAsia="楷体_GB2312"/>
                <w:b/>
                <w:sz w:val="24"/>
                <w:lang w:val="en-GB"/>
              </w:rPr>
              <w:t>【评级机构2全称】</w:t>
            </w:r>
            <w:r>
              <w:rPr>
                <w:rFonts w:eastAsia="楷体_GB2312"/>
                <w:sz w:val="24"/>
              </w:rPr>
              <w:br w:type="textWrapping"/>
            </w:r>
            <w:r>
              <w:rPr>
                <w:rFonts w:eastAsia="楷体_GB2312"/>
                <w:sz w:val="24"/>
              </w:rPr>
              <w:t>注册地址：【】</w:t>
            </w:r>
            <w:r>
              <w:rPr>
                <w:rFonts w:eastAsia="楷体_GB2312"/>
                <w:sz w:val="24"/>
              </w:rPr>
              <w:br w:type="textWrapping"/>
            </w:r>
            <w:r>
              <w:rPr>
                <w:rFonts w:eastAsia="楷体_GB2312"/>
                <w:sz w:val="24"/>
              </w:rPr>
              <w:t>联系人：【】</w:t>
            </w:r>
            <w:r>
              <w:rPr>
                <w:rFonts w:eastAsia="楷体_GB2312"/>
                <w:sz w:val="24"/>
              </w:rPr>
              <w:br w:type="textWrapping"/>
            </w:r>
            <w:r>
              <w:rPr>
                <w:rFonts w:eastAsia="楷体_GB2312"/>
                <w:sz w:val="24"/>
              </w:rPr>
              <w:t>联系电话：【】</w:t>
            </w:r>
            <w:r>
              <w:rPr>
                <w:rFonts w:eastAsia="楷体_GB2312"/>
                <w:sz w:val="24"/>
              </w:rPr>
              <w:br w:type="textWrapping"/>
            </w:r>
            <w:r>
              <w:rPr>
                <w:rFonts w:eastAsia="楷体_GB2312"/>
                <w:sz w:val="24"/>
              </w:rPr>
              <w:t>传真：【】</w:t>
            </w:r>
            <w:r>
              <w:rPr>
                <w:rFonts w:eastAsia="楷体_GB2312"/>
                <w:sz w:val="24"/>
              </w:rPr>
              <w:br w:type="textWrapping"/>
            </w:r>
            <w:r>
              <w:rPr>
                <w:rFonts w:eastAsia="楷体_GB2312"/>
                <w:sz w:val="24"/>
              </w:rPr>
              <w:t>电子邮箱：【】</w:t>
            </w:r>
            <w:r>
              <w:rPr>
                <w:rFonts w:eastAsia="楷体_GB2312"/>
                <w:sz w:val="24"/>
              </w:rPr>
              <w:br w:type="textWrapping"/>
            </w:r>
            <w:r>
              <w:rPr>
                <w:rFonts w:eastAsia="楷体_GB2312"/>
                <w:sz w:val="24"/>
              </w:rPr>
              <w:t>邮政编码：【】</w:t>
            </w:r>
            <w:r>
              <w:rPr>
                <w:rFonts w:eastAsia="楷体_GB2312"/>
                <w:sz w:val="24"/>
              </w:rPr>
              <w:br w:type="textWrapping"/>
            </w:r>
            <w:r>
              <w:rPr>
                <w:rFonts w:eastAsia="楷体_GB2312"/>
                <w:sz w:val="24"/>
              </w:rPr>
              <w:t>网址：【】</w:t>
            </w:r>
            <w:bookmarkEnd w:id="714"/>
          </w:p>
        </w:tc>
      </w:tr>
    </w:tbl>
    <w:p w14:paraId="77177F61">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通知在下列日期视为送达被通知方：</w:t>
      </w:r>
    </w:p>
    <w:p w14:paraId="5B7E9510">
      <w:pPr>
        <w:numPr>
          <w:ilvl w:val="0"/>
          <w:numId w:val="32"/>
        </w:numPr>
        <w:spacing w:before="156" w:beforeLines="50" w:after="156" w:afterLines="50" w:line="360" w:lineRule="auto"/>
        <w:ind w:left="2268"/>
        <w:rPr>
          <w:rFonts w:eastAsia="楷体_GB2312"/>
          <w:sz w:val="24"/>
        </w:rPr>
      </w:pPr>
      <w:r>
        <w:rPr>
          <w:rFonts w:eastAsia="楷体_GB2312"/>
          <w:sz w:val="24"/>
        </w:rPr>
        <w:t>专人送达：通知方取得的被通知方签收单所标示的日期；</w:t>
      </w:r>
    </w:p>
    <w:p w14:paraId="22296526">
      <w:pPr>
        <w:numPr>
          <w:ilvl w:val="0"/>
          <w:numId w:val="32"/>
        </w:numPr>
        <w:spacing w:before="156" w:beforeLines="50" w:after="156" w:afterLines="50" w:line="360" w:lineRule="auto"/>
        <w:ind w:left="2268"/>
        <w:rPr>
          <w:rFonts w:eastAsia="楷体_GB2312"/>
          <w:sz w:val="24"/>
        </w:rPr>
      </w:pPr>
      <w:r>
        <w:rPr>
          <w:rFonts w:eastAsia="楷体_GB2312"/>
          <w:sz w:val="24"/>
        </w:rPr>
        <w:t>挂号信邮递：发出通知方持有的挂号函件收据所示日后第【】个“工作日”；</w:t>
      </w:r>
    </w:p>
    <w:p w14:paraId="291A3095">
      <w:pPr>
        <w:numPr>
          <w:ilvl w:val="0"/>
          <w:numId w:val="32"/>
        </w:numPr>
        <w:spacing w:before="156" w:beforeLines="50" w:after="156" w:afterLines="50" w:line="360" w:lineRule="auto"/>
        <w:ind w:left="2268"/>
        <w:rPr>
          <w:rFonts w:eastAsia="楷体_GB2312"/>
          <w:sz w:val="24"/>
        </w:rPr>
      </w:pPr>
      <w:r>
        <w:rPr>
          <w:rFonts w:eastAsia="楷体_GB2312"/>
          <w:sz w:val="24"/>
        </w:rPr>
        <w:t>特快专递：发出通知方持有的投邮凭证所示日后第【】个“工作日”；</w:t>
      </w:r>
    </w:p>
    <w:p w14:paraId="6CC68C6F">
      <w:pPr>
        <w:numPr>
          <w:ilvl w:val="0"/>
          <w:numId w:val="32"/>
        </w:numPr>
        <w:spacing w:before="156" w:beforeLines="50" w:after="156" w:afterLines="50" w:line="360" w:lineRule="auto"/>
        <w:ind w:left="2268"/>
        <w:rPr>
          <w:rFonts w:eastAsia="楷体_GB2312"/>
          <w:sz w:val="24"/>
        </w:rPr>
      </w:pPr>
      <w:r>
        <w:rPr>
          <w:rFonts w:eastAsia="楷体_GB2312"/>
          <w:sz w:val="24"/>
        </w:rPr>
        <w:t>传真：收到成功发送确认后的第【】个“工作日”；</w:t>
      </w:r>
    </w:p>
    <w:p w14:paraId="18066308">
      <w:pPr>
        <w:numPr>
          <w:ilvl w:val="0"/>
          <w:numId w:val="32"/>
        </w:numPr>
        <w:spacing w:before="156" w:beforeLines="50" w:after="156" w:afterLines="50" w:line="360" w:lineRule="auto"/>
        <w:ind w:left="2268"/>
        <w:rPr>
          <w:rFonts w:eastAsia="楷体_GB2312"/>
          <w:sz w:val="24"/>
        </w:rPr>
      </w:pPr>
      <w:r>
        <w:rPr>
          <w:rFonts w:eastAsia="楷体_GB2312"/>
          <w:sz w:val="24"/>
        </w:rPr>
        <w:t>电子邮件：该电子邮件首次进入被通知方电子信箱所在服务器系统的时间。</w:t>
      </w:r>
    </w:p>
    <w:p w14:paraId="4811E22D">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一方通讯地址或联络方式发生变化，应自发生变化之日起【】日内以书面形式通知另一方。如果在“信托期限”届满前一个月内发生变化，应在【】日内以书面形式通知另一方。为避免争议，对于书面通知到达前一方按照原通讯地址或联络方式进行通知的，无需承担通知未能送达的责任。</w:t>
      </w:r>
    </w:p>
    <w:p w14:paraId="711EC1FE">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如通讯地址或联络方式发生变化的一方（简称“变动一方”），未将有关变化及时通知另一方，除非“中国”“法律”另有规定，变动一方应对由此而造成的影响和损失承担责任。</w:t>
      </w:r>
    </w:p>
    <w:p w14:paraId="440531D2">
      <w:pPr>
        <w:numPr>
          <w:ilvl w:val="1"/>
          <w:numId w:val="4"/>
        </w:numPr>
        <w:tabs>
          <w:tab w:val="left" w:pos="992"/>
        </w:tabs>
        <w:spacing w:before="156" w:beforeLines="50" w:after="156" w:afterLines="50" w:line="360" w:lineRule="auto"/>
        <w:ind w:left="879" w:hanging="454"/>
        <w:rPr>
          <w:rFonts w:eastAsia="楷体_GB2312"/>
          <w:b/>
          <w:sz w:val="24"/>
        </w:rPr>
      </w:pPr>
      <w:r>
        <w:rPr>
          <w:rFonts w:eastAsia="楷体_GB2312"/>
          <w:b/>
          <w:sz w:val="24"/>
        </w:rPr>
        <w:t>受托人对受益人的通知</w:t>
      </w:r>
    </w:p>
    <w:p w14:paraId="16552B92">
      <w:pPr>
        <w:spacing w:before="156" w:beforeLines="50" w:after="156" w:afterLines="50" w:line="360" w:lineRule="auto"/>
        <w:ind w:left="992"/>
        <w:rPr>
          <w:rFonts w:eastAsia="楷体_GB2312"/>
          <w:sz w:val="24"/>
        </w:rPr>
      </w:pPr>
      <w:r>
        <w:rPr>
          <w:rFonts w:eastAsia="楷体_GB2312"/>
          <w:sz w:val="24"/>
        </w:rPr>
        <w:t>“受托人”采用第</w:t>
      </w:r>
      <w:r>
        <w:rPr>
          <w:rFonts w:eastAsia="楷体_GB2312"/>
          <w:sz w:val="24"/>
        </w:rPr>
        <w:fldChar w:fldCharType="begin"/>
      </w:r>
      <w:r>
        <w:rPr>
          <w:rFonts w:eastAsia="楷体_GB2312"/>
          <w:sz w:val="24"/>
        </w:rPr>
        <w:instrText xml:space="preserve"> REF _Ref111698061 \r \h  \* MERGEFORMAT </w:instrText>
      </w:r>
      <w:r>
        <w:rPr>
          <w:rFonts w:eastAsia="楷体_GB2312"/>
          <w:sz w:val="24"/>
        </w:rPr>
        <w:fldChar w:fldCharType="separate"/>
      </w:r>
      <w:r>
        <w:rPr>
          <w:rFonts w:eastAsia="楷体_GB2312"/>
          <w:sz w:val="24"/>
        </w:rPr>
        <w:t>21.2.1</w:t>
      </w:r>
      <w:r>
        <w:rPr>
          <w:rFonts w:eastAsia="楷体_GB2312"/>
          <w:sz w:val="24"/>
        </w:rPr>
        <w:fldChar w:fldCharType="end"/>
      </w:r>
      <w:r>
        <w:rPr>
          <w:rFonts w:eastAsia="楷体_GB2312"/>
          <w:sz w:val="24"/>
        </w:rPr>
        <w:t>款中约定的信息披露方式将“受托人”处理信托事务过程中需要通知的事项通知“受益人”。</w:t>
      </w:r>
    </w:p>
    <w:p w14:paraId="5C753131">
      <w:pPr>
        <w:numPr>
          <w:ilvl w:val="0"/>
          <w:numId w:val="4"/>
        </w:numPr>
        <w:spacing w:before="156" w:beforeLines="50" w:after="156" w:afterLines="50" w:line="360" w:lineRule="auto"/>
        <w:outlineLvl w:val="0"/>
        <w:rPr>
          <w:rFonts w:eastAsia="楷体_GB2312"/>
          <w:sz w:val="24"/>
        </w:rPr>
      </w:pPr>
      <w:bookmarkStart w:id="715" w:name="_Toc110153485"/>
      <w:bookmarkStart w:id="716" w:name="_Toc111281859"/>
      <w:bookmarkStart w:id="717" w:name="_Toc221382875"/>
      <w:bookmarkStart w:id="718" w:name="_Toc402883959"/>
      <w:r>
        <w:rPr>
          <w:rFonts w:eastAsia="楷体_GB2312"/>
          <w:b/>
          <w:sz w:val="24"/>
        </w:rPr>
        <w:t>需要</w:t>
      </w:r>
      <w:bookmarkStart w:id="719" w:name="_Toc92612967"/>
      <w:r>
        <w:rPr>
          <w:rFonts w:eastAsia="楷体_GB2312"/>
          <w:b/>
          <w:sz w:val="24"/>
        </w:rPr>
        <w:t>载明的其他事项</w:t>
      </w:r>
      <w:bookmarkEnd w:id="715"/>
      <w:bookmarkEnd w:id="716"/>
      <w:bookmarkEnd w:id="717"/>
      <w:bookmarkEnd w:id="718"/>
    </w:p>
    <w:bookmarkEnd w:id="719"/>
    <w:p w14:paraId="16ED04A3">
      <w:pPr>
        <w:numPr>
          <w:ilvl w:val="1"/>
          <w:numId w:val="4"/>
        </w:numPr>
        <w:tabs>
          <w:tab w:val="left" w:pos="992"/>
        </w:tabs>
        <w:spacing w:before="156" w:beforeLines="50" w:after="156" w:afterLines="50" w:line="360" w:lineRule="auto"/>
        <w:ind w:left="879" w:hanging="454"/>
        <w:rPr>
          <w:rFonts w:eastAsia="楷体_GB2312"/>
          <w:b/>
          <w:sz w:val="24"/>
        </w:rPr>
      </w:pPr>
      <w:bookmarkStart w:id="720" w:name="_Toc110153486"/>
      <w:bookmarkStart w:id="721" w:name="_Toc111281860"/>
      <w:r>
        <w:rPr>
          <w:rFonts w:eastAsia="楷体_GB2312"/>
          <w:b/>
          <w:sz w:val="24"/>
        </w:rPr>
        <w:t>期间</w:t>
      </w:r>
      <w:bookmarkStart w:id="722" w:name="_Toc92612968"/>
      <w:r>
        <w:rPr>
          <w:rFonts w:eastAsia="楷体_GB2312"/>
          <w:b/>
          <w:sz w:val="24"/>
        </w:rPr>
        <w:t>的顺延</w:t>
      </w:r>
      <w:bookmarkEnd w:id="720"/>
      <w:bookmarkEnd w:id="721"/>
    </w:p>
    <w:bookmarkEnd w:id="722"/>
    <w:p w14:paraId="1DD7A0E8">
      <w:pPr>
        <w:spacing w:before="156" w:beforeLines="50" w:after="156" w:afterLines="50" w:line="360" w:lineRule="auto"/>
        <w:ind w:left="992"/>
        <w:rPr>
          <w:rFonts w:eastAsia="楷体_GB2312"/>
          <w:sz w:val="24"/>
        </w:rPr>
      </w:pPr>
      <w:r>
        <w:rPr>
          <w:rFonts w:eastAsia="楷体_GB2312"/>
          <w:sz w:val="24"/>
        </w:rPr>
        <w:t>本合同各方当事人接收款项或支付款项的日期如遇法定节假日，应顺延至法定节假日结束后的第【】个</w:t>
      </w:r>
      <w:r>
        <w:rPr>
          <w:rFonts w:eastAsia="楷体_GB2312"/>
          <w:bCs/>
          <w:sz w:val="24"/>
        </w:rPr>
        <w:t>“</w:t>
      </w:r>
      <w:r>
        <w:rPr>
          <w:rFonts w:eastAsia="楷体_GB2312"/>
          <w:sz w:val="24"/>
        </w:rPr>
        <w:t>工作日</w:t>
      </w:r>
      <w:r>
        <w:rPr>
          <w:rFonts w:eastAsia="楷体_GB2312"/>
          <w:bCs/>
          <w:sz w:val="24"/>
        </w:rPr>
        <w:t>”</w:t>
      </w:r>
      <w:r>
        <w:rPr>
          <w:rFonts w:eastAsia="楷体_GB2312"/>
          <w:sz w:val="24"/>
        </w:rPr>
        <w:t>。</w:t>
      </w:r>
    </w:p>
    <w:p w14:paraId="7444A6E4">
      <w:pPr>
        <w:numPr>
          <w:ilvl w:val="1"/>
          <w:numId w:val="4"/>
        </w:numPr>
        <w:tabs>
          <w:tab w:val="left" w:pos="992"/>
        </w:tabs>
        <w:spacing w:before="156" w:beforeLines="50" w:after="156" w:afterLines="50" w:line="360" w:lineRule="auto"/>
        <w:ind w:left="879" w:hanging="454"/>
        <w:rPr>
          <w:rFonts w:eastAsia="楷体_GB2312"/>
          <w:b/>
          <w:sz w:val="24"/>
        </w:rPr>
      </w:pPr>
      <w:bookmarkStart w:id="723" w:name="_Toc110153487"/>
      <w:bookmarkStart w:id="724" w:name="_Ref111286339"/>
      <w:bookmarkStart w:id="725" w:name="_Toc111281861"/>
      <w:r>
        <w:rPr>
          <w:rFonts w:eastAsia="楷体_GB2312"/>
          <w:b/>
          <w:sz w:val="24"/>
        </w:rPr>
        <w:t>合同生效</w:t>
      </w:r>
      <w:bookmarkEnd w:id="723"/>
      <w:bookmarkEnd w:id="724"/>
      <w:bookmarkEnd w:id="725"/>
    </w:p>
    <w:p w14:paraId="08C36507">
      <w:pPr>
        <w:spacing w:before="156" w:beforeLines="50" w:after="156" w:afterLines="50" w:line="360" w:lineRule="auto"/>
        <w:ind w:left="992"/>
        <w:rPr>
          <w:rFonts w:eastAsia="楷体_GB2312"/>
          <w:sz w:val="24"/>
        </w:rPr>
      </w:pPr>
      <w:r>
        <w:rPr>
          <w:rFonts w:eastAsia="楷体_GB2312"/>
          <w:sz w:val="24"/>
        </w:rPr>
        <w:t>本合同经“委托人”、“受托人”的法定代表人或其授权签署人签署并加盖公章或合同专用章后，本合同即告生效。</w:t>
      </w:r>
    </w:p>
    <w:p w14:paraId="4B077C1C">
      <w:pPr>
        <w:numPr>
          <w:ilvl w:val="1"/>
          <w:numId w:val="4"/>
        </w:numPr>
        <w:tabs>
          <w:tab w:val="left" w:pos="992"/>
        </w:tabs>
        <w:spacing w:before="156" w:beforeLines="50" w:after="156" w:afterLines="50" w:line="360" w:lineRule="auto"/>
        <w:ind w:left="879" w:hanging="454"/>
        <w:rPr>
          <w:rFonts w:eastAsia="楷体_GB2312"/>
          <w:b/>
          <w:sz w:val="24"/>
        </w:rPr>
      </w:pPr>
      <w:r>
        <w:rPr>
          <w:rFonts w:eastAsia="楷体_GB2312"/>
          <w:b/>
          <w:sz w:val="24"/>
        </w:rPr>
        <w:t>合同终止</w:t>
      </w:r>
    </w:p>
    <w:p w14:paraId="79310B58">
      <w:pPr>
        <w:spacing w:before="156" w:beforeLines="50" w:after="156" w:afterLines="50" w:line="360" w:lineRule="auto"/>
        <w:ind w:left="992"/>
        <w:rPr>
          <w:rFonts w:eastAsia="楷体_GB2312"/>
          <w:sz w:val="24"/>
        </w:rPr>
      </w:pPr>
      <w:r>
        <w:rPr>
          <w:rFonts w:eastAsia="楷体_GB2312"/>
          <w:sz w:val="24"/>
        </w:rPr>
        <w:t>发生以下任一事由时，本合同终止：</w:t>
      </w:r>
    </w:p>
    <w:p w14:paraId="698D329E">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根据本合同的约定“资产支持证券”发行不成功且“受托人”向“登记托管机构”提供《发行结果公告》；</w:t>
      </w:r>
    </w:p>
    <w:p w14:paraId="68DBB6C8">
      <w:pPr>
        <w:numPr>
          <w:ilvl w:val="2"/>
          <w:numId w:val="4"/>
        </w:numPr>
        <w:tabs>
          <w:tab w:val="left" w:pos="1701"/>
        </w:tabs>
        <w:spacing w:before="156" w:beforeLines="50" w:after="156" w:afterLines="50" w:line="360" w:lineRule="auto"/>
        <w:ind w:left="1843" w:hanging="851"/>
        <w:rPr>
          <w:rFonts w:eastAsia="楷体_GB2312"/>
          <w:sz w:val="24"/>
        </w:rPr>
      </w:pPr>
      <w:r>
        <w:rPr>
          <w:rFonts w:eastAsia="楷体_GB2312"/>
          <w:sz w:val="24"/>
        </w:rPr>
        <w:t>“受托人”完成“信托财产”清算且“受托人”作出的“信托”清算报告公告期届满且“信托终止日”时“资产支持证券”未兑付完毕的“资产支持证券持有人”无异</w:t>
      </w:r>
      <w:bookmarkStart w:id="726" w:name="_DV_M748"/>
      <w:bookmarkEnd w:id="726"/>
      <w:r>
        <w:rPr>
          <w:rFonts w:eastAsia="楷体_GB2312"/>
          <w:sz w:val="24"/>
        </w:rPr>
        <w:t>议。</w:t>
      </w:r>
    </w:p>
    <w:p w14:paraId="4FFFF943">
      <w:pPr>
        <w:numPr>
          <w:ilvl w:val="1"/>
          <w:numId w:val="4"/>
        </w:numPr>
        <w:tabs>
          <w:tab w:val="left" w:pos="992"/>
        </w:tabs>
        <w:spacing w:before="156" w:beforeLines="50" w:after="156" w:afterLines="50" w:line="360" w:lineRule="auto"/>
        <w:ind w:left="879" w:hanging="454"/>
        <w:rPr>
          <w:rFonts w:eastAsia="楷体_GB2312"/>
          <w:b/>
          <w:sz w:val="24"/>
        </w:rPr>
      </w:pPr>
      <w:bookmarkStart w:id="727" w:name="_Toc111281862"/>
      <w:bookmarkStart w:id="728" w:name="_Toc110153488"/>
      <w:r>
        <w:rPr>
          <w:rFonts w:eastAsia="楷体_GB2312"/>
          <w:b/>
          <w:sz w:val="24"/>
        </w:rPr>
        <w:t>条款</w:t>
      </w:r>
      <w:bookmarkStart w:id="729" w:name="_Toc92612970"/>
      <w:r>
        <w:rPr>
          <w:rFonts w:eastAsia="楷体_GB2312"/>
          <w:b/>
          <w:sz w:val="24"/>
        </w:rPr>
        <w:t>的独立性</w:t>
      </w:r>
      <w:bookmarkEnd w:id="727"/>
      <w:bookmarkEnd w:id="728"/>
    </w:p>
    <w:bookmarkEnd w:id="729"/>
    <w:p w14:paraId="2A0A5AAE">
      <w:pPr>
        <w:spacing w:before="156" w:beforeLines="50" w:after="156" w:afterLines="50" w:line="360" w:lineRule="auto"/>
        <w:ind w:left="992"/>
        <w:rPr>
          <w:rFonts w:eastAsia="楷体_GB2312"/>
          <w:sz w:val="24"/>
        </w:rPr>
      </w:pPr>
      <w:r>
        <w:rPr>
          <w:rFonts w:eastAsia="楷体_GB2312"/>
          <w:sz w:val="24"/>
        </w:rPr>
        <w:t>如因“中国”“法律”的变化或其他政策原因导致本合同任何条款成为不合法或者失去相应的法律效力，本合同的其他条款的合法性、有效性和强制执行性不受影响。</w:t>
      </w:r>
    </w:p>
    <w:p w14:paraId="6A4588CB">
      <w:pPr>
        <w:numPr>
          <w:ilvl w:val="1"/>
          <w:numId w:val="4"/>
        </w:numPr>
        <w:tabs>
          <w:tab w:val="left" w:pos="992"/>
        </w:tabs>
        <w:spacing w:before="156" w:beforeLines="50" w:after="156" w:afterLines="50" w:line="360" w:lineRule="auto"/>
        <w:ind w:left="879" w:hanging="454"/>
        <w:rPr>
          <w:rFonts w:eastAsia="楷体_GB2312"/>
          <w:b/>
          <w:sz w:val="24"/>
        </w:rPr>
      </w:pPr>
      <w:bookmarkStart w:id="730" w:name="_Toc110153489"/>
      <w:bookmarkStart w:id="731" w:name="_Toc111281863"/>
      <w:r>
        <w:rPr>
          <w:rFonts w:eastAsia="楷体_GB2312"/>
          <w:b/>
          <w:sz w:val="24"/>
        </w:rPr>
        <w:t>合同</w:t>
      </w:r>
      <w:bookmarkStart w:id="732" w:name="_Toc92612971"/>
      <w:r>
        <w:rPr>
          <w:rFonts w:eastAsia="楷体_GB2312"/>
          <w:b/>
          <w:sz w:val="24"/>
        </w:rPr>
        <w:t>文本及其效力</w:t>
      </w:r>
      <w:bookmarkEnd w:id="730"/>
      <w:bookmarkEnd w:id="731"/>
    </w:p>
    <w:bookmarkEnd w:id="732"/>
    <w:p w14:paraId="089DCDCF">
      <w:pPr>
        <w:spacing w:before="156" w:beforeLines="50" w:after="156" w:afterLines="50" w:line="360" w:lineRule="auto"/>
        <w:ind w:left="992"/>
        <w:rPr>
          <w:rFonts w:eastAsia="楷体_GB2312"/>
          <w:sz w:val="24"/>
        </w:rPr>
      </w:pPr>
      <w:r>
        <w:rPr>
          <w:rFonts w:eastAsia="楷体_GB2312"/>
          <w:sz w:val="24"/>
        </w:rPr>
        <w:t>本合同一式【】份，具有同等法律效力；“委托人”、“受托人”各执【】份，其余合同用于与本项目相关的监管报备，在提交报备前留存于“受托人”处。本合同所列附件是本合同不可分割的组成部分。</w:t>
      </w:r>
    </w:p>
    <w:p w14:paraId="28ED2D8E">
      <w:pPr>
        <w:rPr>
          <w:rFonts w:eastAsia="楷体_GB2312"/>
          <w:sz w:val="24"/>
        </w:rPr>
      </w:pPr>
    </w:p>
    <w:p w14:paraId="2DF972A2">
      <w:pPr>
        <w:widowControl/>
        <w:jc w:val="left"/>
        <w:rPr>
          <w:rFonts w:eastAsia="楷体_GB2312"/>
          <w:sz w:val="24"/>
        </w:rPr>
      </w:pPr>
      <w:r>
        <w:rPr>
          <w:rFonts w:eastAsia="楷体_GB2312"/>
          <w:sz w:val="24"/>
        </w:rPr>
        <w:t>（以下无正文）</w:t>
      </w:r>
    </w:p>
    <w:p w14:paraId="55AF86B8">
      <w:pPr>
        <w:widowControl/>
        <w:jc w:val="left"/>
        <w:rPr>
          <w:rFonts w:eastAsia="楷体_GB2312"/>
          <w:sz w:val="24"/>
        </w:rPr>
      </w:pPr>
      <w:r>
        <w:rPr>
          <w:rFonts w:eastAsia="楷体_GB2312"/>
          <w:sz w:val="24"/>
        </w:rPr>
        <w:br w:type="page"/>
      </w:r>
    </w:p>
    <w:p w14:paraId="49D020D4">
      <w:pPr>
        <w:spacing w:line="360" w:lineRule="auto"/>
        <w:rPr>
          <w:rFonts w:eastAsia="楷体_GB2312"/>
          <w:bCs/>
          <w:kern w:val="0"/>
          <w:sz w:val="24"/>
        </w:rPr>
      </w:pPr>
      <w:r>
        <w:rPr>
          <w:rFonts w:eastAsia="楷体_GB2312"/>
          <w:bCs/>
          <w:kern w:val="0"/>
          <w:sz w:val="24"/>
        </w:rPr>
        <w:t>（本页无正文，为</w:t>
      </w:r>
      <w:r>
        <w:rPr>
          <w:rFonts w:eastAsia="楷体_GB2312"/>
          <w:bCs/>
          <w:color w:val="000000" w:themeColor="text1"/>
          <w:kern w:val="0"/>
          <w:sz w:val="24"/>
          <w14:textFill>
            <w14:solidFill>
              <w14:schemeClr w14:val="tx1"/>
            </w14:solidFill>
          </w14:textFill>
        </w:rPr>
        <w:t>编号为</w:t>
      </w:r>
      <w:r>
        <w:rPr>
          <w:rFonts w:eastAsia="楷体_GB2312"/>
          <w:kern w:val="0"/>
          <w:sz w:val="24"/>
        </w:rPr>
        <w:t>【信托合同编号】的</w:t>
      </w:r>
      <w:r>
        <w:rPr>
          <w:rFonts w:eastAsia="楷体_GB2312"/>
          <w:bCs/>
          <w:kern w:val="0"/>
          <w:sz w:val="24"/>
        </w:rPr>
        <w:t>《【信托名称】之信托合同》的签署页）</w:t>
      </w:r>
    </w:p>
    <w:p w14:paraId="508832A4">
      <w:pPr>
        <w:spacing w:line="480" w:lineRule="auto"/>
        <w:rPr>
          <w:rFonts w:eastAsia="楷体_GB2312"/>
          <w:i/>
          <w:color w:val="000000"/>
          <w:sz w:val="24"/>
        </w:rPr>
      </w:pPr>
    </w:p>
    <w:p w14:paraId="140B9E50">
      <w:pPr>
        <w:spacing w:line="360" w:lineRule="auto"/>
        <w:rPr>
          <w:rFonts w:eastAsia="楷体_GB2312"/>
          <w:color w:val="000000"/>
        </w:rPr>
      </w:pPr>
    </w:p>
    <w:p w14:paraId="1CC529A6">
      <w:pPr>
        <w:spacing w:line="360" w:lineRule="auto"/>
        <w:rPr>
          <w:rFonts w:eastAsia="楷体_GB2312"/>
          <w:color w:val="000000"/>
        </w:rPr>
      </w:pPr>
    </w:p>
    <w:p w14:paraId="52DB7CD3">
      <w:pPr>
        <w:spacing w:line="480" w:lineRule="auto"/>
        <w:rPr>
          <w:rFonts w:eastAsia="楷体_GB2312"/>
          <w:i/>
          <w:color w:val="000000"/>
        </w:rPr>
      </w:pPr>
    </w:p>
    <w:p w14:paraId="49509B58">
      <w:pPr>
        <w:spacing w:line="360" w:lineRule="auto"/>
        <w:jc w:val="center"/>
        <w:outlineLvl w:val="0"/>
        <w:rPr>
          <w:rFonts w:eastAsia="楷体_GB2312"/>
          <w:b/>
          <w:sz w:val="36"/>
          <w:szCs w:val="36"/>
        </w:rPr>
      </w:pPr>
      <w:r>
        <w:rPr>
          <w:rFonts w:eastAsia="楷体_GB2312"/>
          <w:b/>
          <w:sz w:val="36"/>
          <w:szCs w:val="36"/>
        </w:rPr>
        <w:t>【信托名称】</w:t>
      </w:r>
    </w:p>
    <w:p w14:paraId="34646000">
      <w:pPr>
        <w:spacing w:line="360" w:lineRule="auto"/>
        <w:jc w:val="center"/>
        <w:outlineLvl w:val="0"/>
        <w:rPr>
          <w:rFonts w:eastAsia="楷体_GB2312"/>
          <w:b/>
          <w:sz w:val="36"/>
          <w:szCs w:val="36"/>
        </w:rPr>
      </w:pPr>
      <w:r>
        <w:rPr>
          <w:rFonts w:hint="eastAsia" w:eastAsia="楷体_GB2312"/>
          <w:b/>
          <w:sz w:val="36"/>
          <w:szCs w:val="36"/>
        </w:rPr>
        <w:t>之</w:t>
      </w:r>
    </w:p>
    <w:p w14:paraId="09C3C276">
      <w:pPr>
        <w:spacing w:line="360" w:lineRule="auto"/>
        <w:jc w:val="center"/>
        <w:outlineLvl w:val="0"/>
        <w:rPr>
          <w:rFonts w:eastAsia="楷体_GB2312"/>
          <w:b/>
          <w:sz w:val="36"/>
          <w:szCs w:val="36"/>
        </w:rPr>
      </w:pPr>
      <w:r>
        <w:rPr>
          <w:rFonts w:eastAsia="楷体_GB2312"/>
          <w:b/>
          <w:sz w:val="36"/>
          <w:szCs w:val="36"/>
        </w:rPr>
        <w:t>信托合同</w:t>
      </w:r>
    </w:p>
    <w:p w14:paraId="3607CFE8">
      <w:pPr>
        <w:spacing w:line="360" w:lineRule="auto"/>
        <w:jc w:val="center"/>
        <w:rPr>
          <w:rFonts w:eastAsia="楷体_GB2312"/>
          <w:b/>
        </w:rPr>
      </w:pPr>
    </w:p>
    <w:p w14:paraId="64BFC31B">
      <w:pPr>
        <w:spacing w:line="360" w:lineRule="auto"/>
        <w:jc w:val="center"/>
        <w:rPr>
          <w:rFonts w:eastAsia="楷体_GB2312"/>
          <w:b/>
        </w:rPr>
      </w:pPr>
      <w:r>
        <w:rPr>
          <w:rFonts w:eastAsia="楷体_GB2312"/>
          <w:b/>
        </w:rPr>
        <w:t>签署页</w:t>
      </w:r>
    </w:p>
    <w:p w14:paraId="2BACDC1E">
      <w:pPr>
        <w:spacing w:line="360" w:lineRule="auto"/>
        <w:rPr>
          <w:rFonts w:eastAsia="楷体_GB2312"/>
          <w:color w:val="000000"/>
        </w:rPr>
      </w:pPr>
    </w:p>
    <w:p w14:paraId="218547A9">
      <w:pPr>
        <w:spacing w:line="360" w:lineRule="auto"/>
        <w:rPr>
          <w:rFonts w:eastAsia="楷体_GB2312"/>
          <w:color w:val="000000"/>
        </w:rPr>
      </w:pPr>
    </w:p>
    <w:p w14:paraId="111AF34B">
      <w:pPr>
        <w:spacing w:line="360" w:lineRule="auto"/>
        <w:rPr>
          <w:rFonts w:eastAsia="楷体_GB2312"/>
          <w:color w:val="000000"/>
        </w:rPr>
      </w:pPr>
    </w:p>
    <w:p w14:paraId="51F43001">
      <w:pPr>
        <w:spacing w:line="360" w:lineRule="auto"/>
        <w:rPr>
          <w:rFonts w:eastAsia="楷体_GB2312"/>
          <w:b/>
          <w:color w:val="000000" w:themeColor="text1"/>
          <w:kern w:val="0"/>
          <w:sz w:val="24"/>
          <w14:textFill>
            <w14:solidFill>
              <w14:schemeClr w14:val="tx1"/>
            </w14:solidFill>
          </w14:textFill>
        </w:rPr>
      </w:pPr>
      <w:r>
        <w:rPr>
          <w:rFonts w:eastAsia="楷体_GB2312"/>
          <w:b/>
          <w:color w:val="000000"/>
          <w:sz w:val="24"/>
        </w:rPr>
        <w:t>委托人和发起机构：【发起机构全称】</w:t>
      </w:r>
      <w:r>
        <w:rPr>
          <w:rFonts w:eastAsia="楷体_GB2312"/>
          <w:b/>
          <w:color w:val="000000" w:themeColor="text1"/>
          <w:kern w:val="0"/>
          <w:sz w:val="24"/>
          <w14:textFill>
            <w14:solidFill>
              <w14:schemeClr w14:val="tx1"/>
            </w14:solidFill>
          </w14:textFill>
        </w:rPr>
        <w:t>（公章或合同专用章）</w:t>
      </w:r>
    </w:p>
    <w:p w14:paraId="1FE27334">
      <w:pPr>
        <w:spacing w:line="360" w:lineRule="auto"/>
        <w:rPr>
          <w:rFonts w:eastAsia="楷体_GB2312"/>
          <w:b/>
          <w:color w:val="000000"/>
          <w:sz w:val="24"/>
        </w:rPr>
      </w:pPr>
    </w:p>
    <w:p w14:paraId="4D6A4764">
      <w:pPr>
        <w:spacing w:line="360" w:lineRule="auto"/>
        <w:rPr>
          <w:rFonts w:eastAsia="楷体_GB2312"/>
          <w:color w:val="000000"/>
          <w:sz w:val="24"/>
        </w:rPr>
      </w:pPr>
      <w:r>
        <w:rPr>
          <w:rFonts w:eastAsia="楷体_GB2312"/>
          <w:color w:val="000000"/>
          <w:sz w:val="24"/>
        </w:rPr>
        <w:t>法定代表人或授权代理人：</w:t>
      </w:r>
    </w:p>
    <w:p w14:paraId="01419555">
      <w:pPr>
        <w:spacing w:line="360" w:lineRule="auto"/>
        <w:rPr>
          <w:rFonts w:eastAsia="楷体_GB2312"/>
          <w:color w:val="000000"/>
          <w:sz w:val="24"/>
        </w:rPr>
      </w:pPr>
      <w:r>
        <w:rPr>
          <w:rFonts w:eastAsia="楷体_GB2312"/>
          <w:color w:val="000000"/>
          <w:sz w:val="24"/>
        </w:rPr>
        <w:t>签署日期：【  】年【  】月【  】日</w:t>
      </w:r>
    </w:p>
    <w:p w14:paraId="4C0A94BA">
      <w:pPr>
        <w:widowControl/>
        <w:jc w:val="left"/>
        <w:rPr>
          <w:rFonts w:eastAsia="楷体_GB2312"/>
          <w:b/>
          <w:sz w:val="28"/>
          <w:szCs w:val="28"/>
        </w:rPr>
      </w:pPr>
      <w:r>
        <w:rPr>
          <w:rFonts w:eastAsia="楷体_GB2312"/>
          <w:b/>
          <w:sz w:val="28"/>
          <w:szCs w:val="28"/>
        </w:rPr>
        <w:br w:type="page"/>
      </w:r>
    </w:p>
    <w:p w14:paraId="4CF87BE9">
      <w:pPr>
        <w:spacing w:line="360" w:lineRule="auto"/>
        <w:rPr>
          <w:rFonts w:eastAsia="楷体_GB2312"/>
          <w:bCs/>
          <w:kern w:val="0"/>
          <w:sz w:val="24"/>
        </w:rPr>
      </w:pPr>
      <w:bookmarkStart w:id="733" w:name="_Hlk93422272"/>
      <w:r>
        <w:rPr>
          <w:rFonts w:eastAsia="楷体_GB2312"/>
          <w:bCs/>
          <w:kern w:val="0"/>
          <w:sz w:val="24"/>
        </w:rPr>
        <w:t>（本页无正文，为</w:t>
      </w:r>
      <w:r>
        <w:rPr>
          <w:rFonts w:eastAsia="楷体_GB2312"/>
          <w:bCs/>
          <w:color w:val="000000" w:themeColor="text1"/>
          <w:kern w:val="0"/>
          <w:sz w:val="24"/>
          <w14:textFill>
            <w14:solidFill>
              <w14:schemeClr w14:val="tx1"/>
            </w14:solidFill>
          </w14:textFill>
        </w:rPr>
        <w:t>编号为</w:t>
      </w:r>
      <w:r>
        <w:rPr>
          <w:rFonts w:eastAsia="楷体_GB2312"/>
          <w:kern w:val="0"/>
          <w:sz w:val="24"/>
        </w:rPr>
        <w:t>【信托合同编号】的</w:t>
      </w:r>
      <w:r>
        <w:rPr>
          <w:rFonts w:eastAsia="楷体_GB2312"/>
          <w:bCs/>
          <w:kern w:val="0"/>
          <w:sz w:val="24"/>
        </w:rPr>
        <w:t>《【信托名称】之信托合同》的签署页）</w:t>
      </w:r>
    </w:p>
    <w:bookmarkEnd w:id="733"/>
    <w:p w14:paraId="73B684DD">
      <w:pPr>
        <w:spacing w:line="360" w:lineRule="auto"/>
        <w:rPr>
          <w:rFonts w:eastAsia="楷体_GB2312"/>
          <w:color w:val="000000"/>
          <w:sz w:val="24"/>
        </w:rPr>
      </w:pPr>
    </w:p>
    <w:p w14:paraId="3C140FB7">
      <w:pPr>
        <w:spacing w:line="360" w:lineRule="auto"/>
        <w:rPr>
          <w:rFonts w:eastAsia="楷体_GB2312"/>
          <w:color w:val="000000"/>
          <w:sz w:val="24"/>
        </w:rPr>
      </w:pPr>
    </w:p>
    <w:p w14:paraId="68ABBC04">
      <w:pPr>
        <w:spacing w:line="360" w:lineRule="auto"/>
        <w:rPr>
          <w:rFonts w:eastAsia="楷体_GB2312"/>
          <w:color w:val="000000"/>
          <w:sz w:val="24"/>
        </w:rPr>
      </w:pPr>
    </w:p>
    <w:p w14:paraId="1F58CBCF">
      <w:pPr>
        <w:spacing w:line="480" w:lineRule="auto"/>
        <w:rPr>
          <w:rFonts w:eastAsia="楷体_GB2312"/>
          <w:i/>
          <w:color w:val="000000"/>
        </w:rPr>
      </w:pPr>
    </w:p>
    <w:p w14:paraId="2C8F7C52">
      <w:pPr>
        <w:spacing w:line="360" w:lineRule="auto"/>
        <w:jc w:val="center"/>
        <w:outlineLvl w:val="0"/>
        <w:rPr>
          <w:rFonts w:eastAsia="楷体_GB2312"/>
          <w:b/>
          <w:sz w:val="36"/>
          <w:szCs w:val="36"/>
        </w:rPr>
      </w:pPr>
      <w:r>
        <w:rPr>
          <w:rFonts w:eastAsia="楷体_GB2312"/>
          <w:b/>
          <w:sz w:val="36"/>
          <w:szCs w:val="36"/>
        </w:rPr>
        <w:t>【信托名称】</w:t>
      </w:r>
    </w:p>
    <w:p w14:paraId="17A13181">
      <w:pPr>
        <w:spacing w:line="360" w:lineRule="auto"/>
        <w:jc w:val="center"/>
        <w:outlineLvl w:val="0"/>
        <w:rPr>
          <w:rFonts w:eastAsia="楷体_GB2312"/>
          <w:b/>
          <w:sz w:val="36"/>
          <w:szCs w:val="36"/>
        </w:rPr>
      </w:pPr>
      <w:r>
        <w:rPr>
          <w:rFonts w:hint="eastAsia" w:eastAsia="楷体_GB2312"/>
          <w:b/>
          <w:sz w:val="36"/>
          <w:szCs w:val="36"/>
        </w:rPr>
        <w:t>之</w:t>
      </w:r>
    </w:p>
    <w:p w14:paraId="1DF4E1EE">
      <w:pPr>
        <w:spacing w:line="360" w:lineRule="auto"/>
        <w:jc w:val="center"/>
        <w:outlineLvl w:val="0"/>
        <w:rPr>
          <w:rFonts w:eastAsia="楷体_GB2312"/>
          <w:b/>
          <w:sz w:val="36"/>
          <w:szCs w:val="36"/>
        </w:rPr>
      </w:pPr>
      <w:r>
        <w:rPr>
          <w:rFonts w:eastAsia="楷体_GB2312"/>
          <w:b/>
          <w:sz w:val="36"/>
          <w:szCs w:val="36"/>
        </w:rPr>
        <w:t>信托合同</w:t>
      </w:r>
    </w:p>
    <w:p w14:paraId="568C268D">
      <w:pPr>
        <w:spacing w:line="360" w:lineRule="auto"/>
        <w:jc w:val="center"/>
        <w:rPr>
          <w:rFonts w:eastAsia="楷体_GB2312"/>
          <w:b/>
        </w:rPr>
      </w:pPr>
    </w:p>
    <w:p w14:paraId="59AFC6D0">
      <w:pPr>
        <w:spacing w:line="360" w:lineRule="auto"/>
        <w:jc w:val="center"/>
        <w:rPr>
          <w:rFonts w:eastAsia="楷体_GB2312"/>
          <w:b/>
        </w:rPr>
      </w:pPr>
      <w:r>
        <w:rPr>
          <w:rFonts w:eastAsia="楷体_GB2312"/>
          <w:b/>
        </w:rPr>
        <w:t>签署页</w:t>
      </w:r>
    </w:p>
    <w:p w14:paraId="476B005D">
      <w:pPr>
        <w:spacing w:line="360" w:lineRule="auto"/>
        <w:rPr>
          <w:rFonts w:eastAsia="楷体_GB2312"/>
          <w:color w:val="000000"/>
          <w:sz w:val="24"/>
        </w:rPr>
      </w:pPr>
    </w:p>
    <w:p w14:paraId="6EF9D1B7">
      <w:pPr>
        <w:spacing w:line="360" w:lineRule="auto"/>
        <w:rPr>
          <w:rFonts w:eastAsia="楷体_GB2312"/>
          <w:color w:val="000000"/>
          <w:sz w:val="24"/>
        </w:rPr>
      </w:pPr>
    </w:p>
    <w:p w14:paraId="00EF42D5">
      <w:pPr>
        <w:spacing w:line="360" w:lineRule="auto"/>
        <w:rPr>
          <w:rFonts w:eastAsia="楷体_GB2312"/>
          <w:color w:val="000000"/>
          <w:sz w:val="24"/>
        </w:rPr>
      </w:pPr>
    </w:p>
    <w:p w14:paraId="75E3A7D6">
      <w:pPr>
        <w:spacing w:line="360" w:lineRule="auto"/>
        <w:rPr>
          <w:rFonts w:eastAsia="楷体_GB2312"/>
          <w:color w:val="000000"/>
          <w:sz w:val="24"/>
        </w:rPr>
      </w:pPr>
    </w:p>
    <w:p w14:paraId="39AAC15E">
      <w:pPr>
        <w:spacing w:line="360" w:lineRule="auto"/>
        <w:rPr>
          <w:rFonts w:eastAsia="楷体_GB2312"/>
          <w:color w:val="000000"/>
          <w:sz w:val="24"/>
        </w:rPr>
      </w:pPr>
    </w:p>
    <w:p w14:paraId="66C9057E">
      <w:pPr>
        <w:spacing w:line="360" w:lineRule="auto"/>
        <w:rPr>
          <w:rFonts w:eastAsia="楷体_GB2312"/>
          <w:b/>
          <w:color w:val="000000" w:themeColor="text1"/>
          <w:kern w:val="0"/>
          <w:sz w:val="24"/>
          <w14:textFill>
            <w14:solidFill>
              <w14:schemeClr w14:val="tx1"/>
            </w14:solidFill>
          </w14:textFill>
        </w:rPr>
      </w:pPr>
      <w:r>
        <w:rPr>
          <w:rFonts w:eastAsia="楷体_GB2312"/>
          <w:b/>
          <w:color w:val="000000"/>
          <w:sz w:val="24"/>
        </w:rPr>
        <w:t>受托人、受托机构和发行人：【受托机构全称】</w:t>
      </w:r>
      <w:r>
        <w:rPr>
          <w:rFonts w:eastAsia="楷体_GB2312"/>
          <w:b/>
          <w:color w:val="000000" w:themeColor="text1"/>
          <w:kern w:val="0"/>
          <w:sz w:val="24"/>
          <w14:textFill>
            <w14:solidFill>
              <w14:schemeClr w14:val="tx1"/>
            </w14:solidFill>
          </w14:textFill>
        </w:rPr>
        <w:t>（公章或合同专用章）</w:t>
      </w:r>
    </w:p>
    <w:p w14:paraId="48E4A484">
      <w:pPr>
        <w:spacing w:line="360" w:lineRule="auto"/>
        <w:rPr>
          <w:rFonts w:eastAsia="楷体_GB2312"/>
          <w:b/>
          <w:color w:val="000000"/>
          <w:sz w:val="24"/>
        </w:rPr>
      </w:pPr>
    </w:p>
    <w:p w14:paraId="06882B75">
      <w:pPr>
        <w:spacing w:line="360" w:lineRule="auto"/>
        <w:rPr>
          <w:rFonts w:eastAsia="楷体_GB2312"/>
          <w:color w:val="000000"/>
          <w:sz w:val="24"/>
        </w:rPr>
      </w:pPr>
      <w:r>
        <w:rPr>
          <w:rFonts w:eastAsia="楷体_GB2312"/>
          <w:color w:val="000000"/>
          <w:sz w:val="24"/>
        </w:rPr>
        <w:t>法定代表人或授权代理人：</w:t>
      </w:r>
    </w:p>
    <w:p w14:paraId="30F7D044">
      <w:pPr>
        <w:spacing w:line="360" w:lineRule="auto"/>
        <w:rPr>
          <w:rFonts w:eastAsia="楷体_GB2312"/>
          <w:color w:val="000000"/>
          <w:sz w:val="24"/>
        </w:rPr>
      </w:pPr>
      <w:r>
        <w:rPr>
          <w:rFonts w:eastAsia="楷体_GB2312"/>
          <w:color w:val="000000"/>
          <w:sz w:val="24"/>
        </w:rPr>
        <w:t>签署日期：【  】年【  】月【  】日</w:t>
      </w:r>
      <w:r>
        <w:rPr>
          <w:rFonts w:eastAsia="楷体_GB2312"/>
          <w:color w:val="000000"/>
          <w:sz w:val="24"/>
        </w:rPr>
        <w:br w:type="page"/>
      </w:r>
    </w:p>
    <w:p w14:paraId="2DFD935A">
      <w:pPr>
        <w:spacing w:line="380" w:lineRule="atLeast"/>
        <w:outlineLvl w:val="0"/>
        <w:rPr>
          <w:rFonts w:eastAsia="楷体_GB2312"/>
          <w:b/>
          <w:sz w:val="24"/>
        </w:rPr>
      </w:pPr>
      <w:bookmarkStart w:id="734" w:name="_Toc373951571"/>
      <w:bookmarkStart w:id="735" w:name="_Toc51277240"/>
      <w:bookmarkStart w:id="736" w:name="_Toc221382876"/>
      <w:bookmarkStart w:id="737" w:name="_Toc28435"/>
      <w:r>
        <w:rPr>
          <w:rFonts w:eastAsia="楷体_GB2312"/>
          <w:b/>
          <w:sz w:val="24"/>
        </w:rPr>
        <w:t>附件一：</w:t>
      </w:r>
      <w:bookmarkEnd w:id="734"/>
      <w:bookmarkEnd w:id="735"/>
      <w:r>
        <w:rPr>
          <w:rFonts w:eastAsia="楷体_GB2312"/>
          <w:b/>
          <w:sz w:val="24"/>
        </w:rPr>
        <w:t>信贷资产清单格式</w:t>
      </w:r>
      <w:bookmarkEnd w:id="736"/>
      <w:bookmarkEnd w:id="737"/>
    </w:p>
    <w:p w14:paraId="740AA495">
      <w:pPr>
        <w:spacing w:line="380" w:lineRule="atLeast"/>
        <w:rPr>
          <w:rFonts w:eastAsia="楷体_GB2312"/>
          <w:sz w:val="24"/>
        </w:rPr>
      </w:pPr>
    </w:p>
    <w:p w14:paraId="5758CD81">
      <w:pPr>
        <w:spacing w:line="380" w:lineRule="exact"/>
        <w:ind w:firstLine="420"/>
        <w:rPr>
          <w:rFonts w:eastAsia="楷体_GB2312"/>
          <w:sz w:val="24"/>
        </w:rPr>
      </w:pPr>
      <w:r>
        <w:rPr>
          <w:rFonts w:eastAsia="楷体_GB2312"/>
          <w:sz w:val="24"/>
        </w:rPr>
        <w:t>就“委托人”根据“《信托合同》”信托予或转让给“受托人”的“信贷资产”而言，“信贷资产清单”应包括以下信息：</w:t>
      </w:r>
    </w:p>
    <w:p w14:paraId="04D0C4EE">
      <w:pPr>
        <w:spacing w:line="360" w:lineRule="auto"/>
        <w:rPr>
          <w:rFonts w:eastAsia="楷体_GB2312"/>
          <w:b/>
          <w:bCs/>
          <w:i/>
          <w:iCs/>
          <w:color w:val="FF0000"/>
          <w:sz w:val="24"/>
        </w:rPr>
      </w:pPr>
      <w:r>
        <w:rPr>
          <w:rFonts w:eastAsia="楷体_GB2312"/>
          <w:b/>
          <w:bCs/>
          <w:i/>
          <w:iCs/>
          <w:color w:val="FF0000"/>
          <w:sz w:val="24"/>
        </w:rPr>
        <w:t>【注：根据具体项目补充相应的资产清单格式。】</w:t>
      </w:r>
    </w:p>
    <w:p w14:paraId="581F83A0">
      <w:pPr>
        <w:spacing w:line="380" w:lineRule="atLeast"/>
        <w:rPr>
          <w:rFonts w:eastAsia="楷体_GB2312"/>
          <w:sz w:val="24"/>
        </w:rPr>
      </w:pPr>
    </w:p>
    <w:p w14:paraId="4C096E8F">
      <w:pPr>
        <w:spacing w:line="380" w:lineRule="atLeast"/>
        <w:outlineLvl w:val="0"/>
        <w:rPr>
          <w:rFonts w:eastAsia="楷体_GB2312"/>
          <w:b/>
          <w:sz w:val="24"/>
        </w:rPr>
      </w:pPr>
      <w:r>
        <w:rPr>
          <w:rFonts w:eastAsia="楷体_GB2312"/>
          <w:sz w:val="24"/>
        </w:rPr>
        <w:br w:type="page"/>
      </w:r>
      <w:bookmarkStart w:id="738" w:name="_Toc373951572"/>
      <w:bookmarkStart w:id="739" w:name="_Toc51277241"/>
      <w:bookmarkStart w:id="740" w:name="_Toc221382877"/>
      <w:bookmarkStart w:id="741" w:name="_Toc31386"/>
      <w:r>
        <w:rPr>
          <w:rFonts w:eastAsia="楷体_GB2312"/>
          <w:b/>
          <w:sz w:val="24"/>
        </w:rPr>
        <w:t>附件二：</w:t>
      </w:r>
      <w:bookmarkEnd w:id="738"/>
      <w:bookmarkStart w:id="742" w:name="_Toc373951573"/>
      <w:r>
        <w:rPr>
          <w:rFonts w:eastAsia="楷体_GB2312"/>
          <w:b/>
          <w:sz w:val="24"/>
        </w:rPr>
        <w:t>确认函格式</w:t>
      </w:r>
      <w:bookmarkEnd w:id="739"/>
      <w:bookmarkEnd w:id="740"/>
      <w:bookmarkEnd w:id="741"/>
      <w:bookmarkEnd w:id="742"/>
    </w:p>
    <w:p w14:paraId="20E35132">
      <w:pPr>
        <w:spacing w:line="380" w:lineRule="atLeast"/>
        <w:ind w:left="210" w:leftChars="100"/>
        <w:rPr>
          <w:rFonts w:eastAsia="楷体_GB2312"/>
          <w:b/>
          <w:sz w:val="24"/>
        </w:rPr>
      </w:pPr>
    </w:p>
    <w:p w14:paraId="4BAEBE8F">
      <w:pPr>
        <w:spacing w:line="380" w:lineRule="atLeast"/>
        <w:jc w:val="center"/>
        <w:rPr>
          <w:rFonts w:eastAsia="楷体_GB2312"/>
          <w:b/>
          <w:sz w:val="24"/>
        </w:rPr>
      </w:pPr>
      <w:r>
        <w:rPr>
          <w:rFonts w:eastAsia="楷体_GB2312"/>
          <w:b/>
          <w:sz w:val="24"/>
        </w:rPr>
        <w:t>确认函</w:t>
      </w:r>
    </w:p>
    <w:p w14:paraId="09D15429">
      <w:pPr>
        <w:spacing w:line="380" w:lineRule="atLeast"/>
        <w:jc w:val="center"/>
        <w:rPr>
          <w:rFonts w:eastAsia="楷体_GB2312"/>
          <w:sz w:val="24"/>
        </w:rPr>
      </w:pPr>
    </w:p>
    <w:p w14:paraId="3E966510">
      <w:pPr>
        <w:spacing w:line="380" w:lineRule="exact"/>
        <w:rPr>
          <w:rFonts w:eastAsia="楷体_GB2312"/>
          <w:sz w:val="24"/>
        </w:rPr>
      </w:pPr>
      <w:r>
        <w:rPr>
          <w:rFonts w:eastAsia="楷体_GB2312"/>
          <w:sz w:val="24"/>
        </w:rPr>
        <w:t>致：</w:t>
      </w:r>
      <w:r>
        <w:rPr>
          <w:rFonts w:eastAsia="楷体_GB2312"/>
          <w:sz w:val="24"/>
        </w:rPr>
        <w:tab/>
      </w:r>
      <w:r>
        <w:rPr>
          <w:rFonts w:eastAsia="楷体_GB2312"/>
          <w:sz w:val="24"/>
        </w:rPr>
        <w:t>【发起机构全称】（“委托人”）</w:t>
      </w:r>
    </w:p>
    <w:p w14:paraId="2AAFEB2F">
      <w:pPr>
        <w:spacing w:line="380" w:lineRule="exact"/>
        <w:rPr>
          <w:rFonts w:eastAsia="楷体_GB2312"/>
          <w:sz w:val="24"/>
        </w:rPr>
      </w:pPr>
    </w:p>
    <w:p w14:paraId="39DE31C8">
      <w:pPr>
        <w:spacing w:line="380" w:lineRule="exact"/>
        <w:rPr>
          <w:rFonts w:eastAsia="楷体_GB2312"/>
          <w:sz w:val="24"/>
        </w:rPr>
      </w:pPr>
      <w:r>
        <w:rPr>
          <w:rFonts w:eastAsia="楷体_GB2312"/>
          <w:sz w:val="24"/>
        </w:rPr>
        <w:t>日期_______________</w:t>
      </w:r>
    </w:p>
    <w:p w14:paraId="1C2898FB">
      <w:pPr>
        <w:spacing w:line="380" w:lineRule="exact"/>
        <w:rPr>
          <w:rFonts w:eastAsia="楷体_GB2312"/>
          <w:sz w:val="24"/>
        </w:rPr>
      </w:pPr>
    </w:p>
    <w:p w14:paraId="5C81880F">
      <w:pPr>
        <w:spacing w:before="156" w:beforeLines="50" w:after="312" w:afterLines="100" w:line="380" w:lineRule="exact"/>
        <w:ind w:firstLine="420"/>
        <w:rPr>
          <w:rFonts w:eastAsia="楷体_GB2312"/>
          <w:sz w:val="24"/>
        </w:rPr>
      </w:pPr>
      <w:r>
        <w:rPr>
          <w:rFonts w:eastAsia="楷体_GB2312"/>
          <w:sz w:val="24"/>
        </w:rPr>
        <w:t>根据【发起机构全称】（“委托人”）、【受托机构全称】（“受托人”）签署的编号为【信托合同编号】的《</w:t>
      </w:r>
      <w:r>
        <w:rPr>
          <w:rFonts w:eastAsia="楷体_GB2312"/>
          <w:color w:val="000000"/>
          <w:sz w:val="24"/>
        </w:rPr>
        <w:t>【信托名称】之信托合同</w:t>
      </w:r>
      <w:r>
        <w:rPr>
          <w:rFonts w:eastAsia="楷体_GB2312"/>
          <w:sz w:val="24"/>
        </w:rPr>
        <w:t>》（“《信托合同》”）第</w:t>
      </w:r>
      <w:r>
        <w:rPr>
          <w:rFonts w:eastAsia="楷体_GB2312"/>
          <w:sz w:val="24"/>
        </w:rPr>
        <w:fldChar w:fldCharType="begin"/>
      </w:r>
      <w:r>
        <w:rPr>
          <w:rFonts w:eastAsia="楷体_GB2312"/>
          <w:sz w:val="24"/>
        </w:rPr>
        <w:instrText xml:space="preserve"> REF _Ref51241105 \r \h  \* MERGEFORMAT </w:instrText>
      </w:r>
      <w:r>
        <w:rPr>
          <w:rFonts w:eastAsia="楷体_GB2312"/>
          <w:sz w:val="24"/>
        </w:rPr>
        <w:fldChar w:fldCharType="separate"/>
      </w:r>
      <w:r>
        <w:rPr>
          <w:rFonts w:eastAsia="楷体_GB2312"/>
          <w:sz w:val="24"/>
        </w:rPr>
        <w:t>3.9.1</w:t>
      </w:r>
      <w:r>
        <w:rPr>
          <w:rFonts w:eastAsia="楷体_GB2312"/>
          <w:sz w:val="24"/>
        </w:rPr>
        <w:fldChar w:fldCharType="end"/>
      </w:r>
      <w:r>
        <w:rPr>
          <w:rFonts w:eastAsia="楷体_GB2312"/>
          <w:sz w:val="24"/>
        </w:rPr>
        <w:t>款的约定，贵行（作为“委托人”）应向本公司（作为“受托人”）交付“《信贷资产清单》”。</w:t>
      </w:r>
    </w:p>
    <w:p w14:paraId="704D8E19">
      <w:pPr>
        <w:spacing w:before="156" w:beforeLines="50" w:after="312" w:afterLines="100" w:line="380" w:lineRule="exact"/>
        <w:ind w:firstLine="480" w:firstLineChars="200"/>
        <w:rPr>
          <w:rFonts w:eastAsia="楷体_GB2312"/>
          <w:sz w:val="24"/>
        </w:rPr>
      </w:pPr>
      <w:r>
        <w:rPr>
          <w:rFonts w:eastAsia="楷体_GB2312"/>
          <w:sz w:val="24"/>
        </w:rPr>
        <w:t>兹确认，本公司已经根据“《信托合同》”的约定收到“信贷资产”的“《信贷资产清单》”。</w:t>
      </w:r>
    </w:p>
    <w:p w14:paraId="6A514F70">
      <w:pPr>
        <w:spacing w:before="156" w:beforeLines="50" w:after="312" w:afterLines="100" w:line="380" w:lineRule="exact"/>
        <w:ind w:firstLine="480" w:firstLineChars="200"/>
        <w:rPr>
          <w:rFonts w:eastAsia="楷体_GB2312"/>
          <w:sz w:val="24"/>
        </w:rPr>
      </w:pPr>
      <w:r>
        <w:rPr>
          <w:rFonts w:eastAsia="楷体_GB2312"/>
          <w:sz w:val="24"/>
        </w:rPr>
        <w:t>若无相反定义，此处使用的词语和表述与签署的“《信托合同》”和编号为【主定义表编号】的《【信托名称】主定义表》（“《主定义表》”）中的相同词语和表述具有相同含义。</w:t>
      </w:r>
    </w:p>
    <w:p w14:paraId="4C616D5A">
      <w:pPr>
        <w:spacing w:line="380" w:lineRule="exact"/>
        <w:rPr>
          <w:rFonts w:eastAsia="楷体_GB2312"/>
          <w:b/>
          <w:sz w:val="28"/>
          <w:szCs w:val="28"/>
        </w:rPr>
      </w:pPr>
    </w:p>
    <w:p w14:paraId="50AD0497">
      <w:pPr>
        <w:spacing w:line="380" w:lineRule="exact"/>
        <w:rPr>
          <w:rFonts w:eastAsia="楷体_GB2312"/>
          <w:sz w:val="28"/>
          <w:szCs w:val="28"/>
        </w:rPr>
      </w:pPr>
      <w:r>
        <w:rPr>
          <w:rFonts w:eastAsia="楷体_GB2312"/>
          <w:b/>
          <w:sz w:val="28"/>
          <w:szCs w:val="28"/>
        </w:rPr>
        <w:t>受托人：【受托机构全称】（公章）</w:t>
      </w:r>
    </w:p>
    <w:p w14:paraId="1895E81B">
      <w:pPr>
        <w:spacing w:line="380" w:lineRule="exact"/>
        <w:rPr>
          <w:rFonts w:eastAsia="楷体_GB2312"/>
          <w:sz w:val="28"/>
          <w:szCs w:val="28"/>
        </w:rPr>
      </w:pPr>
    </w:p>
    <w:p w14:paraId="49F5FFB7">
      <w:pPr>
        <w:spacing w:line="380" w:lineRule="exact"/>
        <w:rPr>
          <w:rFonts w:eastAsia="楷体_GB2312"/>
          <w:b/>
          <w:sz w:val="28"/>
          <w:szCs w:val="28"/>
        </w:rPr>
      </w:pPr>
    </w:p>
    <w:p w14:paraId="7D5FFA40">
      <w:pPr>
        <w:spacing w:line="380" w:lineRule="exact"/>
        <w:rPr>
          <w:rFonts w:eastAsia="楷体_GB2312"/>
          <w:b/>
          <w:sz w:val="28"/>
          <w:szCs w:val="28"/>
        </w:rPr>
      </w:pPr>
      <w:r>
        <w:rPr>
          <w:rFonts w:eastAsia="楷体_GB2312"/>
          <w:b/>
          <w:sz w:val="28"/>
          <w:szCs w:val="28"/>
        </w:rPr>
        <w:t>法定代表人或授权代理人：</w:t>
      </w:r>
    </w:p>
    <w:p w14:paraId="6610633B">
      <w:pPr>
        <w:spacing w:line="380" w:lineRule="exact"/>
        <w:rPr>
          <w:rFonts w:eastAsia="楷体_GB2312"/>
          <w:b/>
          <w:sz w:val="28"/>
          <w:szCs w:val="28"/>
        </w:rPr>
      </w:pPr>
    </w:p>
    <w:p w14:paraId="1DBBC38D">
      <w:pPr>
        <w:spacing w:line="380" w:lineRule="exact"/>
        <w:rPr>
          <w:rFonts w:eastAsia="楷体_GB2312"/>
          <w:b/>
          <w:sz w:val="28"/>
          <w:szCs w:val="28"/>
        </w:rPr>
      </w:pPr>
    </w:p>
    <w:p w14:paraId="4749A807">
      <w:pPr>
        <w:spacing w:line="380" w:lineRule="exact"/>
        <w:rPr>
          <w:rFonts w:eastAsia="楷体_GB2312"/>
          <w:b/>
          <w:sz w:val="28"/>
          <w:szCs w:val="28"/>
        </w:rPr>
      </w:pPr>
      <w:r>
        <w:rPr>
          <w:rFonts w:eastAsia="楷体_GB2312"/>
          <w:b/>
          <w:sz w:val="28"/>
          <w:szCs w:val="28"/>
        </w:rPr>
        <w:t>签署日期：【】年【】月【】日</w:t>
      </w:r>
    </w:p>
    <w:p w14:paraId="6FBFEA09">
      <w:pPr>
        <w:rPr>
          <w:rFonts w:eastAsia="楷体_GB2312"/>
          <w:b/>
          <w:sz w:val="24"/>
        </w:rPr>
      </w:pPr>
    </w:p>
    <w:p w14:paraId="30823EC7">
      <w:pPr>
        <w:spacing w:line="380" w:lineRule="exact"/>
        <w:rPr>
          <w:rFonts w:eastAsia="楷体_GB2312"/>
          <w:b/>
          <w:sz w:val="28"/>
          <w:szCs w:val="28"/>
        </w:rPr>
      </w:pPr>
    </w:p>
    <w:p w14:paraId="0FAF142A">
      <w:pPr>
        <w:widowControl/>
        <w:jc w:val="left"/>
        <w:rPr>
          <w:rFonts w:eastAsia="楷体_GB2312"/>
          <w:sz w:val="24"/>
        </w:rPr>
      </w:pPr>
      <w:r>
        <w:rPr>
          <w:rFonts w:eastAsia="楷体_GB2312"/>
          <w:sz w:val="24"/>
        </w:rPr>
        <w:br w:type="page"/>
      </w:r>
    </w:p>
    <w:p w14:paraId="4AA547C1">
      <w:pPr>
        <w:spacing w:line="380" w:lineRule="atLeast"/>
        <w:outlineLvl w:val="0"/>
        <w:rPr>
          <w:rFonts w:eastAsia="楷体_GB2312"/>
          <w:b/>
          <w:sz w:val="24"/>
        </w:rPr>
      </w:pPr>
      <w:bookmarkStart w:id="743" w:name="_Toc373951574"/>
      <w:bookmarkStart w:id="744" w:name="_Toc51277242"/>
      <w:bookmarkStart w:id="745" w:name="_Toc4060"/>
      <w:bookmarkStart w:id="746" w:name="_Toc221382878"/>
      <w:r>
        <w:rPr>
          <w:rFonts w:eastAsia="楷体_GB2312"/>
          <w:b/>
          <w:sz w:val="24"/>
        </w:rPr>
        <w:t>附件三：权利完善通知的格式</w:t>
      </w:r>
      <w:bookmarkEnd w:id="743"/>
      <w:bookmarkEnd w:id="744"/>
      <w:bookmarkEnd w:id="745"/>
      <w:bookmarkEnd w:id="746"/>
    </w:p>
    <w:p w14:paraId="41BE8F4E">
      <w:pPr>
        <w:spacing w:line="360" w:lineRule="exact"/>
        <w:jc w:val="center"/>
        <w:rPr>
          <w:rFonts w:eastAsia="楷体_GB2312"/>
          <w:b/>
          <w:sz w:val="24"/>
        </w:rPr>
      </w:pPr>
    </w:p>
    <w:p w14:paraId="468C7528">
      <w:pPr>
        <w:pStyle w:val="42"/>
        <w:numPr>
          <w:ilvl w:val="0"/>
          <w:numId w:val="33"/>
        </w:numPr>
        <w:spacing w:line="360" w:lineRule="exact"/>
        <w:ind w:firstLineChars="0"/>
        <w:jc w:val="center"/>
        <w:rPr>
          <w:rFonts w:eastAsia="楷体_GB2312"/>
          <w:b/>
          <w:sz w:val="24"/>
        </w:rPr>
      </w:pPr>
      <w:r>
        <w:rPr>
          <w:rFonts w:eastAsia="楷体_GB2312"/>
          <w:b/>
          <w:sz w:val="24"/>
        </w:rPr>
        <w:t>权利完善通知格式</w:t>
      </w:r>
    </w:p>
    <w:p w14:paraId="157766DC">
      <w:pPr>
        <w:spacing w:line="360" w:lineRule="exact"/>
        <w:jc w:val="center"/>
        <w:rPr>
          <w:rFonts w:eastAsia="楷体_GB2312"/>
          <w:b/>
          <w:sz w:val="24"/>
        </w:rPr>
      </w:pPr>
    </w:p>
    <w:p w14:paraId="20B1CBE8">
      <w:pPr>
        <w:spacing w:line="380" w:lineRule="exact"/>
        <w:rPr>
          <w:rFonts w:eastAsia="楷体_GB2312"/>
          <w:color w:val="000000"/>
          <w:sz w:val="24"/>
        </w:rPr>
      </w:pPr>
      <w:r>
        <w:rPr>
          <w:rFonts w:eastAsia="楷体_GB2312"/>
          <w:color w:val="000000"/>
          <w:sz w:val="24"/>
        </w:rPr>
        <w:t>（适用于：1、通知对象为“借款人”；2、</w:t>
      </w:r>
      <w:r>
        <w:rPr>
          <w:rFonts w:eastAsia="楷体_GB2312"/>
          <w:sz w:val="24"/>
        </w:rPr>
        <w:t>由</w:t>
      </w:r>
      <w:r>
        <w:rPr>
          <w:rFonts w:eastAsia="楷体_GB2312"/>
          <w:color w:val="000000"/>
          <w:sz w:val="24"/>
        </w:rPr>
        <w:t>“</w:t>
      </w:r>
      <w:r>
        <w:rPr>
          <w:rFonts w:eastAsia="楷体_GB2312"/>
          <w:sz w:val="24"/>
        </w:rPr>
        <w:t>【发起机构简称】”通知。</w:t>
      </w:r>
      <w:r>
        <w:rPr>
          <w:rFonts w:eastAsia="楷体_GB2312"/>
          <w:color w:val="000000"/>
          <w:sz w:val="24"/>
        </w:rPr>
        <w:t>）</w:t>
      </w:r>
    </w:p>
    <w:p w14:paraId="5FE84FC8">
      <w:pPr>
        <w:spacing w:line="380" w:lineRule="exact"/>
        <w:rPr>
          <w:rFonts w:eastAsia="楷体_GB2312"/>
          <w:b/>
          <w:color w:val="000000"/>
          <w:sz w:val="24"/>
        </w:rPr>
      </w:pPr>
    </w:p>
    <w:p w14:paraId="6E4996F3">
      <w:pPr>
        <w:spacing w:line="380" w:lineRule="exact"/>
        <w:rPr>
          <w:rFonts w:eastAsia="楷体_GB2312"/>
          <w:b/>
          <w:color w:val="000000"/>
          <w:sz w:val="24"/>
        </w:rPr>
      </w:pPr>
      <w:r>
        <w:rPr>
          <w:rFonts w:eastAsia="楷体_GB2312"/>
          <w:b/>
          <w:color w:val="000000"/>
          <w:sz w:val="24"/>
        </w:rPr>
        <w:t>致：【相关“借款人”的名称/姓名和注册地址】</w:t>
      </w:r>
    </w:p>
    <w:p w14:paraId="1830ECAE">
      <w:pPr>
        <w:spacing w:line="360" w:lineRule="auto"/>
        <w:rPr>
          <w:rFonts w:eastAsia="楷体_GB2312"/>
          <w:b/>
          <w:color w:val="000000"/>
          <w:sz w:val="24"/>
        </w:rPr>
      </w:pPr>
      <w:r>
        <w:rPr>
          <w:rFonts w:eastAsia="楷体_GB2312"/>
          <w:b/>
          <w:color w:val="000000"/>
          <w:sz w:val="24"/>
        </w:rPr>
        <w:t>抄送：【受托机构全称】</w:t>
      </w:r>
    </w:p>
    <w:p w14:paraId="27F48131">
      <w:pPr>
        <w:spacing w:line="380" w:lineRule="exact"/>
        <w:rPr>
          <w:rFonts w:eastAsia="楷体_GB2312"/>
          <w:b/>
          <w:color w:val="000000"/>
          <w:sz w:val="24"/>
        </w:rPr>
      </w:pPr>
      <w:r>
        <w:rPr>
          <w:rFonts w:eastAsia="楷体_GB2312"/>
          <w:b/>
          <w:color w:val="000000"/>
          <w:sz w:val="24"/>
        </w:rPr>
        <w:t>日期_______________</w:t>
      </w:r>
    </w:p>
    <w:p w14:paraId="6A0CEE32">
      <w:pPr>
        <w:spacing w:line="380" w:lineRule="exact"/>
        <w:rPr>
          <w:rFonts w:eastAsia="楷体_GB2312"/>
          <w:b/>
          <w:color w:val="000000"/>
          <w:sz w:val="24"/>
        </w:rPr>
      </w:pPr>
    </w:p>
    <w:p w14:paraId="0D1AD340">
      <w:pPr>
        <w:spacing w:line="380" w:lineRule="exact"/>
        <w:rPr>
          <w:rFonts w:eastAsia="楷体_GB2312"/>
          <w:b/>
          <w:color w:val="000000"/>
          <w:sz w:val="24"/>
        </w:rPr>
      </w:pPr>
      <w:r>
        <w:rPr>
          <w:rFonts w:eastAsia="楷体_GB2312"/>
          <w:b/>
          <w:color w:val="000000"/>
          <w:sz w:val="24"/>
        </w:rPr>
        <w:t>敬启者</w:t>
      </w:r>
    </w:p>
    <w:p w14:paraId="592704FB">
      <w:pPr>
        <w:spacing w:line="380" w:lineRule="exact"/>
        <w:rPr>
          <w:rFonts w:eastAsia="楷体_GB2312"/>
          <w:color w:val="000000"/>
          <w:sz w:val="24"/>
        </w:rPr>
      </w:pPr>
    </w:p>
    <w:p w14:paraId="48F6FD01">
      <w:pPr>
        <w:spacing w:line="380" w:lineRule="exact"/>
        <w:ind w:firstLine="420"/>
        <w:rPr>
          <w:rFonts w:eastAsia="楷体_GB2312"/>
          <w:color w:val="000000"/>
          <w:sz w:val="24"/>
        </w:rPr>
      </w:pPr>
      <w:r>
        <w:rPr>
          <w:rFonts w:eastAsia="楷体_GB2312"/>
          <w:color w:val="000000"/>
          <w:sz w:val="24"/>
        </w:rPr>
        <w:t>根据【发起机构全称】（“【发起机构简称】”）与【受托机构全称】签署的</w:t>
      </w:r>
      <w:r>
        <w:rPr>
          <w:rFonts w:eastAsia="楷体_GB2312"/>
          <w:sz w:val="24"/>
        </w:rPr>
        <w:t>编号为【信托合同编号】的</w:t>
      </w:r>
      <w:r>
        <w:rPr>
          <w:rFonts w:eastAsia="楷体_GB2312"/>
          <w:color w:val="000000"/>
          <w:sz w:val="24"/>
        </w:rPr>
        <w:t>《【信托名称】之信托合同》（“《信托合同》”）、【发起机构简称】和【受托机构全称】于【</w:t>
      </w:r>
      <w:r>
        <w:rPr>
          <w:rFonts w:eastAsia="楷体_GB2312"/>
          <w:i/>
          <w:color w:val="000000"/>
          <w:sz w:val="24"/>
        </w:rPr>
        <w:t>日期</w:t>
      </w:r>
      <w:r>
        <w:rPr>
          <w:rFonts w:eastAsia="楷体_GB2312"/>
          <w:color w:val="000000"/>
          <w:sz w:val="24"/>
        </w:rPr>
        <w:t>】在【</w:t>
      </w:r>
      <w:r>
        <w:rPr>
          <w:rFonts w:eastAsia="楷体_GB2312"/>
          <w:i/>
          <w:color w:val="000000"/>
          <w:sz w:val="24"/>
        </w:rPr>
        <w:t>公共媒体</w:t>
      </w:r>
      <w:r>
        <w:rPr>
          <w:rFonts w:eastAsia="楷体_GB2312"/>
          <w:color w:val="000000"/>
          <w:sz w:val="24"/>
        </w:rPr>
        <w:t>】刊登的信托公告（“信托公告”），【发起机构简称】已将包括您的贷款（具体信息见本通知附件）在内的特定贷款债权及其附属权益（现有的和将来的、实际的和或有的）全部信托予/转让给【受托机构全称】。</w:t>
      </w:r>
    </w:p>
    <w:p w14:paraId="4654F7D0">
      <w:pPr>
        <w:spacing w:line="380" w:lineRule="exact"/>
        <w:ind w:firstLine="420"/>
        <w:rPr>
          <w:rFonts w:eastAsia="楷体_GB2312"/>
          <w:color w:val="000000"/>
          <w:sz w:val="24"/>
        </w:rPr>
      </w:pPr>
    </w:p>
    <w:p w14:paraId="44B3C858">
      <w:pPr>
        <w:spacing w:line="380" w:lineRule="exact"/>
        <w:ind w:firstLine="420"/>
        <w:rPr>
          <w:rFonts w:eastAsia="楷体_GB2312"/>
          <w:color w:val="000000"/>
          <w:sz w:val="24"/>
        </w:rPr>
      </w:pPr>
      <w:r>
        <w:rPr>
          <w:rFonts w:eastAsia="楷体_GB2312"/>
          <w:color w:val="000000"/>
          <w:sz w:val="24"/>
        </w:rPr>
        <w:t>自【</w:t>
      </w:r>
      <w:r>
        <w:rPr>
          <w:rFonts w:eastAsia="楷体_GB2312"/>
          <w:i/>
          <w:color w:val="000000"/>
          <w:sz w:val="24"/>
        </w:rPr>
        <w:t>日期</w:t>
      </w:r>
      <w:r>
        <w:rPr>
          <w:rFonts w:eastAsia="楷体_GB2312"/>
          <w:color w:val="000000"/>
          <w:sz w:val="24"/>
        </w:rPr>
        <w:t>】起，与该笔贷款及相关附属权益有关的</w:t>
      </w:r>
      <w:r>
        <w:rPr>
          <w:rFonts w:eastAsia="楷体_GB2312"/>
          <w:sz w:val="24"/>
        </w:rPr>
        <w:t>所有权利，均由</w:t>
      </w:r>
      <w:r>
        <w:rPr>
          <w:rFonts w:eastAsia="楷体_GB2312"/>
          <w:color w:val="000000"/>
          <w:sz w:val="24"/>
        </w:rPr>
        <w:t>【受托机构全称】</w:t>
      </w:r>
      <w:r>
        <w:rPr>
          <w:rFonts w:eastAsia="楷体_GB2312"/>
          <w:sz w:val="24"/>
        </w:rPr>
        <w:t>（为资产支持证券持有人的利益）行使，</w:t>
      </w:r>
      <w:r>
        <w:rPr>
          <w:rFonts w:eastAsia="楷体_GB2312"/>
          <w:color w:val="000000"/>
          <w:sz w:val="24"/>
        </w:rPr>
        <w:t>【发起机构简称】有义务继续履行其在您的《借款合同》中应承担的义务。该项转让行为并未改变【发起机构简称】与您签署的《借款合同》的其他内容，不会给您的利益带来不利影响。</w:t>
      </w:r>
    </w:p>
    <w:p w14:paraId="4019B362">
      <w:pPr>
        <w:spacing w:line="360" w:lineRule="auto"/>
        <w:ind w:firstLine="420"/>
        <w:rPr>
          <w:rFonts w:eastAsia="楷体_GB2312"/>
          <w:i/>
          <w:iCs/>
          <w:color w:val="000000"/>
          <w:sz w:val="24"/>
        </w:rPr>
      </w:pPr>
    </w:p>
    <w:p w14:paraId="35038128">
      <w:pPr>
        <w:spacing w:line="360" w:lineRule="auto"/>
        <w:ind w:firstLine="420"/>
        <w:rPr>
          <w:rFonts w:eastAsia="楷体_GB2312"/>
          <w:color w:val="000000"/>
          <w:sz w:val="24"/>
        </w:rPr>
      </w:pPr>
      <w:r>
        <w:rPr>
          <w:rFonts w:eastAsia="楷体_GB2312"/>
          <w:i/>
          <w:iCs/>
          <w:color w:val="000000"/>
          <w:sz w:val="24"/>
        </w:rPr>
        <w:t>（本段不适用于</w:t>
      </w:r>
      <w:bookmarkStart w:id="747" w:name="_Hlk61981460"/>
      <w:r>
        <w:rPr>
          <w:rFonts w:eastAsia="楷体_GB2312"/>
          <w:i/>
          <w:iCs/>
          <w:color w:val="000000"/>
          <w:sz w:val="24"/>
        </w:rPr>
        <w:t>“权利完善事件”(a)项及(d)项</w:t>
      </w:r>
      <w:bookmarkEnd w:id="747"/>
      <w:r>
        <w:rPr>
          <w:rFonts w:eastAsia="楷体_GB2312"/>
          <w:i/>
          <w:iCs/>
          <w:color w:val="000000"/>
          <w:sz w:val="24"/>
        </w:rPr>
        <w:t>）</w:t>
      </w:r>
      <w:r>
        <w:rPr>
          <w:rFonts w:eastAsia="楷体_GB2312"/>
          <w:color w:val="000000"/>
          <w:sz w:val="24"/>
        </w:rPr>
        <w:t>根据【贷款服务机构全称】与【受托机构全称】于【】年【】月【】日签署的编号为【服务合同编号】的《【信托名称】服务合同》（“《服务合同》”），【受托机构全称】已委托【贷款服务机构全称】担任“贷款服务机构”，继续处理与您的该笔贷款相关的未来回收工作（包括根据《借款合同》的约定向您主张权利），直到贷款全部还清或我们向您发出进一步通知。</w:t>
      </w:r>
    </w:p>
    <w:p w14:paraId="627EAB1A">
      <w:pPr>
        <w:spacing w:line="380" w:lineRule="exact"/>
        <w:ind w:firstLine="420"/>
        <w:rPr>
          <w:rFonts w:eastAsia="楷体_GB2312"/>
          <w:color w:val="000000"/>
          <w:sz w:val="24"/>
        </w:rPr>
      </w:pPr>
    </w:p>
    <w:p w14:paraId="307700E7">
      <w:pPr>
        <w:spacing w:line="380" w:lineRule="exact"/>
        <w:ind w:firstLine="420"/>
        <w:rPr>
          <w:rFonts w:eastAsia="楷体_GB2312"/>
          <w:color w:val="000000"/>
          <w:sz w:val="24"/>
        </w:rPr>
      </w:pPr>
      <w:r>
        <w:rPr>
          <w:rFonts w:eastAsia="楷体_GB2312"/>
          <w:color w:val="000000"/>
          <w:sz w:val="24"/>
        </w:rPr>
        <w:t>自【</w:t>
      </w:r>
      <w:r>
        <w:rPr>
          <w:rFonts w:eastAsia="楷体_GB2312"/>
          <w:i/>
          <w:color w:val="000000"/>
          <w:sz w:val="24"/>
        </w:rPr>
        <w:t>日期</w:t>
      </w:r>
      <w:r>
        <w:rPr>
          <w:rFonts w:eastAsia="楷体_GB2312"/>
          <w:color w:val="000000"/>
          <w:sz w:val="24"/>
        </w:rPr>
        <w:t>】起，您应向【受托机构全称】指定的如下“信托账户”还款，直到贷款全部还清或我们向您发出进一步通知。</w:t>
      </w:r>
    </w:p>
    <w:p w14:paraId="606A6C71">
      <w:pPr>
        <w:spacing w:line="380" w:lineRule="exact"/>
        <w:ind w:firstLine="420"/>
        <w:rPr>
          <w:rFonts w:eastAsia="楷体_GB2312"/>
          <w:color w:val="000000"/>
          <w:sz w:val="24"/>
        </w:rPr>
      </w:pPr>
    </w:p>
    <w:p w14:paraId="6DCF12AD">
      <w:pPr>
        <w:spacing w:line="380" w:lineRule="exact"/>
        <w:ind w:firstLine="420"/>
        <w:rPr>
          <w:rFonts w:eastAsia="楷体_GB2312"/>
          <w:color w:val="000000"/>
          <w:sz w:val="24"/>
        </w:rPr>
      </w:pPr>
      <w:r>
        <w:rPr>
          <w:rFonts w:eastAsia="楷体_GB2312"/>
          <w:color w:val="000000"/>
          <w:sz w:val="24"/>
        </w:rPr>
        <w:t>“信托账户”的信息如下：</w:t>
      </w:r>
    </w:p>
    <w:p w14:paraId="3C0C58B4">
      <w:pPr>
        <w:spacing w:line="380" w:lineRule="exact"/>
        <w:ind w:firstLine="420"/>
        <w:rPr>
          <w:rFonts w:eastAsia="楷体_GB2312"/>
          <w:color w:val="000000"/>
          <w:sz w:val="24"/>
        </w:rPr>
      </w:pPr>
      <w:r>
        <w:rPr>
          <w:rFonts w:eastAsia="楷体_GB2312"/>
          <w:color w:val="000000"/>
          <w:sz w:val="24"/>
        </w:rPr>
        <w:t>账号：【】</w:t>
      </w:r>
    </w:p>
    <w:p w14:paraId="40B3D3EC">
      <w:pPr>
        <w:spacing w:line="380" w:lineRule="exact"/>
        <w:ind w:firstLine="420"/>
        <w:rPr>
          <w:rFonts w:eastAsia="楷体_GB2312"/>
          <w:color w:val="000000"/>
          <w:sz w:val="24"/>
        </w:rPr>
      </w:pPr>
      <w:r>
        <w:rPr>
          <w:rFonts w:eastAsia="楷体_GB2312"/>
          <w:color w:val="000000"/>
          <w:sz w:val="24"/>
        </w:rPr>
        <w:t>户名：【】</w:t>
      </w:r>
    </w:p>
    <w:p w14:paraId="4DD5D91A">
      <w:pPr>
        <w:spacing w:line="380" w:lineRule="exact"/>
        <w:ind w:firstLine="420"/>
        <w:rPr>
          <w:rFonts w:eastAsia="楷体_GB2312"/>
          <w:color w:val="000000"/>
          <w:sz w:val="24"/>
        </w:rPr>
      </w:pPr>
      <w:r>
        <w:rPr>
          <w:rFonts w:eastAsia="楷体_GB2312"/>
          <w:color w:val="000000"/>
          <w:sz w:val="24"/>
        </w:rPr>
        <w:t>开户行：【】</w:t>
      </w:r>
    </w:p>
    <w:p w14:paraId="1FF6A884">
      <w:pPr>
        <w:spacing w:line="380" w:lineRule="exact"/>
        <w:ind w:firstLine="420"/>
        <w:rPr>
          <w:rFonts w:eastAsia="楷体_GB2312"/>
          <w:color w:val="000000"/>
          <w:sz w:val="24"/>
        </w:rPr>
      </w:pPr>
      <w:r>
        <w:rPr>
          <w:rFonts w:eastAsia="楷体_GB2312"/>
          <w:color w:val="000000"/>
          <w:sz w:val="24"/>
        </w:rPr>
        <w:t>大额支付号：【】</w:t>
      </w:r>
    </w:p>
    <w:p w14:paraId="54ABA346">
      <w:pPr>
        <w:spacing w:line="380" w:lineRule="exact"/>
        <w:ind w:firstLine="420"/>
        <w:rPr>
          <w:rFonts w:eastAsia="楷体_GB2312"/>
          <w:color w:val="000000"/>
          <w:sz w:val="24"/>
        </w:rPr>
      </w:pPr>
    </w:p>
    <w:p w14:paraId="57A38DAB">
      <w:pPr>
        <w:spacing w:line="380" w:lineRule="exact"/>
        <w:ind w:firstLine="420"/>
        <w:rPr>
          <w:rFonts w:eastAsia="楷体_GB2312"/>
          <w:color w:val="000000"/>
          <w:sz w:val="24"/>
        </w:rPr>
      </w:pPr>
      <w:r>
        <w:rPr>
          <w:rFonts w:eastAsia="楷体_GB2312"/>
          <w:color w:val="000000"/>
          <w:sz w:val="24"/>
        </w:rPr>
        <w:t>如果您对本通知内容或您的贷款及与其有关的任何付款金额有任何问题，请按如下方式进行查询：</w:t>
      </w:r>
    </w:p>
    <w:p w14:paraId="387EBFC6">
      <w:pPr>
        <w:spacing w:line="380" w:lineRule="exact"/>
        <w:ind w:firstLine="420"/>
        <w:rPr>
          <w:rFonts w:eastAsia="楷体_GB2312"/>
          <w:color w:val="000000"/>
          <w:sz w:val="24"/>
        </w:rPr>
      </w:pPr>
    </w:p>
    <w:p w14:paraId="718FE2EC">
      <w:pPr>
        <w:spacing w:line="380" w:lineRule="exact"/>
        <w:ind w:left="420"/>
        <w:rPr>
          <w:rFonts w:eastAsia="楷体_GB2312"/>
          <w:color w:val="000000"/>
          <w:sz w:val="24"/>
        </w:rPr>
      </w:pPr>
      <w:r>
        <w:rPr>
          <w:rFonts w:eastAsia="楷体_GB2312"/>
          <w:color w:val="000000"/>
          <w:sz w:val="24"/>
        </w:rPr>
        <w:t>联系地址：</w:t>
      </w:r>
      <w:r>
        <w:rPr>
          <w:rFonts w:eastAsia="楷体_GB2312"/>
          <w:color w:val="000000"/>
          <w:sz w:val="24"/>
        </w:rPr>
        <w:br w:type="textWrapping"/>
      </w:r>
      <w:r>
        <w:rPr>
          <w:rFonts w:eastAsia="楷体_GB2312"/>
          <w:color w:val="000000"/>
          <w:sz w:val="24"/>
        </w:rPr>
        <w:t>联系人：</w:t>
      </w:r>
      <w:r>
        <w:rPr>
          <w:rFonts w:eastAsia="楷体_GB2312"/>
          <w:color w:val="000000"/>
          <w:sz w:val="24"/>
        </w:rPr>
        <w:br w:type="textWrapping"/>
      </w:r>
      <w:r>
        <w:rPr>
          <w:rFonts w:eastAsia="楷体_GB2312"/>
          <w:color w:val="000000"/>
          <w:sz w:val="24"/>
        </w:rPr>
        <w:t>联系电话：</w:t>
      </w:r>
      <w:r>
        <w:rPr>
          <w:rFonts w:eastAsia="楷体_GB2312"/>
          <w:color w:val="000000"/>
          <w:sz w:val="24"/>
        </w:rPr>
        <w:br w:type="textWrapping"/>
      </w:r>
      <w:r>
        <w:rPr>
          <w:rFonts w:eastAsia="楷体_GB2312"/>
          <w:color w:val="000000"/>
          <w:sz w:val="24"/>
        </w:rPr>
        <w:t>传真：</w:t>
      </w:r>
    </w:p>
    <w:p w14:paraId="38016954">
      <w:pPr>
        <w:spacing w:line="380" w:lineRule="exact"/>
        <w:rPr>
          <w:rFonts w:eastAsia="楷体_GB2312"/>
          <w:color w:val="000000"/>
          <w:sz w:val="24"/>
        </w:rPr>
      </w:pPr>
    </w:p>
    <w:p w14:paraId="29327D14">
      <w:pPr>
        <w:spacing w:line="380" w:lineRule="exact"/>
        <w:rPr>
          <w:rFonts w:eastAsia="楷体_GB2312"/>
          <w:b/>
          <w:sz w:val="24"/>
        </w:rPr>
      </w:pPr>
      <w:r>
        <w:rPr>
          <w:rFonts w:eastAsia="楷体_GB2312"/>
          <w:b/>
          <w:sz w:val="24"/>
        </w:rPr>
        <w:t>【发起机构全称】</w:t>
      </w:r>
      <w:r>
        <w:rPr>
          <w:rFonts w:eastAsia="楷体_GB2312"/>
          <w:sz w:val="24"/>
        </w:rPr>
        <w:t>（</w:t>
      </w:r>
      <w:r>
        <w:rPr>
          <w:rFonts w:eastAsia="楷体_GB2312"/>
          <w:color w:val="000000"/>
          <w:sz w:val="24"/>
        </w:rPr>
        <w:t>作为“委托人”、“发起机构”）（公章）</w:t>
      </w:r>
    </w:p>
    <w:p w14:paraId="10F53FA3">
      <w:pPr>
        <w:spacing w:after="200" w:line="380" w:lineRule="exact"/>
        <w:rPr>
          <w:rFonts w:eastAsia="楷体_GB2312"/>
          <w:color w:val="000000"/>
          <w:sz w:val="24"/>
        </w:rPr>
      </w:pPr>
    </w:p>
    <w:p w14:paraId="2B96FBC0">
      <w:pPr>
        <w:spacing w:after="200" w:line="380" w:lineRule="exact"/>
        <w:rPr>
          <w:rFonts w:eastAsia="楷体_GB2312"/>
          <w:color w:val="000000"/>
          <w:sz w:val="24"/>
        </w:rPr>
      </w:pPr>
      <w:r>
        <w:rPr>
          <w:rFonts w:eastAsia="楷体_GB2312"/>
          <w:color w:val="000000"/>
          <w:sz w:val="24"/>
        </w:rPr>
        <w:t>法定代表人或授权代理人：</w:t>
      </w:r>
    </w:p>
    <w:p w14:paraId="5A44BCAE">
      <w:pPr>
        <w:spacing w:after="200" w:line="380" w:lineRule="exact"/>
        <w:rPr>
          <w:rFonts w:eastAsia="楷体_GB2312"/>
          <w:color w:val="000000"/>
          <w:sz w:val="24"/>
        </w:rPr>
      </w:pPr>
    </w:p>
    <w:p w14:paraId="1A074770">
      <w:pPr>
        <w:tabs>
          <w:tab w:val="left" w:pos="5520"/>
        </w:tabs>
        <w:spacing w:after="480" w:line="380" w:lineRule="exact"/>
        <w:rPr>
          <w:rFonts w:eastAsia="楷体_GB2312"/>
          <w:color w:val="000000"/>
          <w:sz w:val="24"/>
        </w:rPr>
      </w:pPr>
      <w:r>
        <w:rPr>
          <w:rFonts w:eastAsia="楷体_GB2312"/>
          <w:color w:val="000000"/>
          <w:sz w:val="24"/>
        </w:rPr>
        <w:t>签署日期：【】年【】月【】日</w:t>
      </w:r>
    </w:p>
    <w:p w14:paraId="244C6091">
      <w:pPr>
        <w:tabs>
          <w:tab w:val="left" w:pos="5520"/>
        </w:tabs>
        <w:spacing w:after="480" w:line="380" w:lineRule="exact"/>
        <w:rPr>
          <w:rFonts w:eastAsia="楷体_GB2312"/>
          <w:color w:val="000000"/>
          <w:sz w:val="24"/>
        </w:rPr>
      </w:pPr>
    </w:p>
    <w:p w14:paraId="21215C17">
      <w:pPr>
        <w:tabs>
          <w:tab w:val="left" w:pos="5880"/>
        </w:tabs>
        <w:spacing w:after="480" w:line="380" w:lineRule="exact"/>
        <w:rPr>
          <w:rFonts w:eastAsia="楷体_GB2312"/>
          <w:b/>
          <w:color w:val="000000"/>
          <w:sz w:val="24"/>
        </w:rPr>
      </w:pPr>
      <w:r>
        <w:rPr>
          <w:rFonts w:eastAsia="楷体_GB2312"/>
          <w:b/>
          <w:color w:val="000000"/>
          <w:sz w:val="24"/>
        </w:rPr>
        <w:t>附件：</w:t>
      </w:r>
    </w:p>
    <w:p w14:paraId="17D6A7CA">
      <w:pPr>
        <w:spacing w:line="380" w:lineRule="exact"/>
        <w:rPr>
          <w:rFonts w:eastAsia="楷体_GB2312"/>
          <w:sz w:val="24"/>
        </w:rPr>
      </w:pPr>
      <w:r>
        <w:rPr>
          <w:rFonts w:eastAsia="楷体_GB2312"/>
          <w:sz w:val="24"/>
        </w:rPr>
        <w:t>借款合同编号：</w:t>
      </w:r>
    </w:p>
    <w:p w14:paraId="20EFA429">
      <w:pPr>
        <w:spacing w:line="380" w:lineRule="exact"/>
        <w:rPr>
          <w:rFonts w:eastAsia="楷体_GB2312"/>
          <w:sz w:val="24"/>
        </w:rPr>
      </w:pPr>
      <w:r>
        <w:rPr>
          <w:rFonts w:eastAsia="楷体_GB2312"/>
          <w:sz w:val="24"/>
        </w:rPr>
        <w:t>借款人名称/姓名：</w:t>
      </w:r>
    </w:p>
    <w:p w14:paraId="24798014">
      <w:pPr>
        <w:spacing w:line="380" w:lineRule="exact"/>
        <w:rPr>
          <w:rFonts w:eastAsia="楷体_GB2312"/>
          <w:sz w:val="24"/>
        </w:rPr>
      </w:pPr>
      <w:r>
        <w:rPr>
          <w:rFonts w:eastAsia="楷体_GB2312"/>
          <w:sz w:val="24"/>
        </w:rPr>
        <w:t>保证合同编号：</w:t>
      </w:r>
    </w:p>
    <w:p w14:paraId="6433482B">
      <w:pPr>
        <w:spacing w:line="380" w:lineRule="exact"/>
        <w:rPr>
          <w:rFonts w:eastAsia="楷体_GB2312"/>
          <w:sz w:val="24"/>
        </w:rPr>
      </w:pPr>
      <w:r>
        <w:rPr>
          <w:rFonts w:eastAsia="楷体_GB2312"/>
          <w:sz w:val="24"/>
        </w:rPr>
        <w:t>保证人名称/姓名：</w:t>
      </w:r>
    </w:p>
    <w:p w14:paraId="1E648FB6">
      <w:pPr>
        <w:spacing w:line="380" w:lineRule="exact"/>
        <w:rPr>
          <w:rFonts w:eastAsia="楷体_GB2312"/>
          <w:sz w:val="24"/>
        </w:rPr>
      </w:pPr>
      <w:r>
        <w:rPr>
          <w:rFonts w:eastAsia="楷体_GB2312"/>
          <w:sz w:val="24"/>
        </w:rPr>
        <w:t>抵押合同编号：</w:t>
      </w:r>
    </w:p>
    <w:p w14:paraId="12E9F6C9">
      <w:pPr>
        <w:spacing w:line="380" w:lineRule="exact"/>
        <w:rPr>
          <w:rFonts w:eastAsia="楷体_GB2312"/>
          <w:sz w:val="24"/>
        </w:rPr>
      </w:pPr>
      <w:r>
        <w:rPr>
          <w:rFonts w:eastAsia="楷体_GB2312"/>
          <w:sz w:val="24"/>
        </w:rPr>
        <w:t>抵押人名称/姓名：</w:t>
      </w:r>
    </w:p>
    <w:p w14:paraId="34AD434E">
      <w:pPr>
        <w:spacing w:line="380" w:lineRule="exact"/>
        <w:rPr>
          <w:rFonts w:eastAsia="楷体_GB2312"/>
          <w:sz w:val="24"/>
        </w:rPr>
      </w:pPr>
      <w:r>
        <w:rPr>
          <w:rFonts w:eastAsia="楷体_GB2312"/>
          <w:sz w:val="24"/>
        </w:rPr>
        <w:t>抵押物所在地：</w:t>
      </w:r>
    </w:p>
    <w:p w14:paraId="75FBC958">
      <w:pPr>
        <w:spacing w:line="380" w:lineRule="exact"/>
        <w:rPr>
          <w:rFonts w:eastAsia="楷体_GB2312"/>
          <w:sz w:val="24"/>
        </w:rPr>
      </w:pPr>
      <w:r>
        <w:rPr>
          <w:rFonts w:eastAsia="楷体_GB2312"/>
          <w:sz w:val="24"/>
        </w:rPr>
        <w:t>质押合同编号：</w:t>
      </w:r>
    </w:p>
    <w:p w14:paraId="57683625">
      <w:pPr>
        <w:spacing w:line="380" w:lineRule="exact"/>
        <w:rPr>
          <w:rFonts w:eastAsia="楷体_GB2312"/>
          <w:sz w:val="24"/>
        </w:rPr>
      </w:pPr>
      <w:r>
        <w:rPr>
          <w:rFonts w:eastAsia="楷体_GB2312"/>
          <w:sz w:val="24"/>
        </w:rPr>
        <w:t>出质人名称/姓名：</w:t>
      </w:r>
    </w:p>
    <w:p w14:paraId="53F208F9">
      <w:pPr>
        <w:spacing w:line="380" w:lineRule="exact"/>
        <w:rPr>
          <w:rFonts w:eastAsia="楷体_GB2312"/>
          <w:sz w:val="24"/>
        </w:rPr>
      </w:pPr>
      <w:r>
        <w:rPr>
          <w:rFonts w:eastAsia="楷体_GB2312"/>
          <w:sz w:val="24"/>
        </w:rPr>
        <w:t>质押财产：</w:t>
      </w:r>
    </w:p>
    <w:p w14:paraId="074F2901">
      <w:pPr>
        <w:spacing w:line="380" w:lineRule="exact"/>
        <w:rPr>
          <w:rFonts w:eastAsia="楷体_GB2312"/>
          <w:sz w:val="24"/>
        </w:rPr>
      </w:pPr>
      <w:r>
        <w:rPr>
          <w:rFonts w:eastAsia="楷体_GB2312"/>
          <w:sz w:val="24"/>
        </w:rPr>
        <w:t>剩余本金余额：</w:t>
      </w:r>
    </w:p>
    <w:p w14:paraId="02E4B819">
      <w:pPr>
        <w:pStyle w:val="42"/>
        <w:numPr>
          <w:ilvl w:val="0"/>
          <w:numId w:val="33"/>
        </w:numPr>
        <w:spacing w:line="360" w:lineRule="exact"/>
        <w:ind w:firstLineChars="0"/>
        <w:jc w:val="center"/>
        <w:rPr>
          <w:rFonts w:eastAsia="楷体_GB2312"/>
          <w:b/>
          <w:sz w:val="24"/>
        </w:rPr>
      </w:pPr>
      <w:r>
        <w:rPr>
          <w:rFonts w:eastAsia="楷体_GB2312"/>
          <w:color w:val="000000"/>
          <w:sz w:val="24"/>
        </w:rPr>
        <w:br w:type="page"/>
      </w:r>
      <w:bookmarkStart w:id="748" w:name="_DV_M643"/>
      <w:bookmarkEnd w:id="748"/>
      <w:bookmarkStart w:id="749" w:name="_DV_M625"/>
      <w:bookmarkEnd w:id="749"/>
      <w:bookmarkStart w:id="750" w:name="_DV_M623"/>
      <w:bookmarkEnd w:id="750"/>
      <w:bookmarkStart w:id="751" w:name="_DV_M635"/>
      <w:bookmarkEnd w:id="751"/>
      <w:bookmarkStart w:id="752" w:name="_DV_M630"/>
      <w:bookmarkEnd w:id="752"/>
      <w:bookmarkStart w:id="753" w:name="_DV_M624"/>
      <w:bookmarkEnd w:id="753"/>
      <w:bookmarkStart w:id="754" w:name="_DV_M626"/>
      <w:bookmarkEnd w:id="754"/>
      <w:bookmarkStart w:id="755" w:name="_DV_M628"/>
      <w:bookmarkEnd w:id="755"/>
      <w:bookmarkStart w:id="756" w:name="_DV_M634"/>
      <w:bookmarkEnd w:id="756"/>
      <w:bookmarkStart w:id="757" w:name="_DV_M641"/>
      <w:bookmarkEnd w:id="757"/>
      <w:bookmarkStart w:id="758" w:name="_DV_M633"/>
      <w:bookmarkEnd w:id="758"/>
      <w:r>
        <w:rPr>
          <w:rFonts w:eastAsia="楷体_GB2312"/>
          <w:b/>
          <w:sz w:val="24"/>
        </w:rPr>
        <w:t>权利完善通知格式</w:t>
      </w:r>
    </w:p>
    <w:p w14:paraId="1B775B6B">
      <w:pPr>
        <w:spacing w:line="380" w:lineRule="exact"/>
        <w:rPr>
          <w:rFonts w:eastAsia="楷体_GB2312"/>
          <w:b/>
          <w:sz w:val="24"/>
        </w:rPr>
      </w:pPr>
    </w:p>
    <w:p w14:paraId="4CFAE486">
      <w:pPr>
        <w:spacing w:line="380" w:lineRule="exact"/>
        <w:rPr>
          <w:rFonts w:eastAsia="楷体_GB2312"/>
          <w:sz w:val="24"/>
        </w:rPr>
      </w:pPr>
      <w:r>
        <w:rPr>
          <w:rFonts w:eastAsia="楷体_GB2312"/>
          <w:sz w:val="24"/>
        </w:rPr>
        <w:t>（适用于：1、通知对象为</w:t>
      </w:r>
      <w:r>
        <w:rPr>
          <w:rFonts w:eastAsia="楷体_GB2312"/>
          <w:color w:val="000000"/>
          <w:sz w:val="24"/>
        </w:rPr>
        <w:t>“保证人”、</w:t>
      </w:r>
      <w:r>
        <w:rPr>
          <w:rFonts w:eastAsia="楷体_GB2312"/>
          <w:sz w:val="24"/>
        </w:rPr>
        <w:t>与“借款人”非同一人的“抵押人”/“出质人”；2、由“【发起机构简称】”通知。）</w:t>
      </w:r>
    </w:p>
    <w:p w14:paraId="501DD28D">
      <w:pPr>
        <w:spacing w:line="380" w:lineRule="exact"/>
        <w:rPr>
          <w:rFonts w:eastAsia="楷体_GB2312"/>
          <w:b/>
          <w:sz w:val="24"/>
        </w:rPr>
      </w:pPr>
    </w:p>
    <w:p w14:paraId="23235E51">
      <w:pPr>
        <w:spacing w:line="380" w:lineRule="exact"/>
        <w:rPr>
          <w:rFonts w:eastAsia="楷体_GB2312"/>
          <w:b/>
          <w:sz w:val="24"/>
        </w:rPr>
      </w:pPr>
      <w:r>
        <w:rPr>
          <w:rFonts w:eastAsia="楷体_GB2312"/>
          <w:b/>
          <w:sz w:val="24"/>
        </w:rPr>
        <w:t>致：【相关“保证人”/“抵押人”/“出质人”的名称/姓名和注册地址】</w:t>
      </w:r>
    </w:p>
    <w:p w14:paraId="1EE5FCE7">
      <w:pPr>
        <w:spacing w:line="360" w:lineRule="auto"/>
        <w:rPr>
          <w:rFonts w:eastAsia="楷体_GB2312"/>
          <w:b/>
          <w:color w:val="000000"/>
          <w:sz w:val="24"/>
        </w:rPr>
      </w:pPr>
      <w:r>
        <w:rPr>
          <w:rFonts w:eastAsia="楷体_GB2312"/>
          <w:b/>
          <w:color w:val="000000"/>
          <w:sz w:val="24"/>
        </w:rPr>
        <w:t>抄送：【受托机构全称】</w:t>
      </w:r>
    </w:p>
    <w:p w14:paraId="7823FB96">
      <w:pPr>
        <w:spacing w:line="380" w:lineRule="exact"/>
        <w:rPr>
          <w:rFonts w:eastAsia="楷体_GB2312"/>
          <w:b/>
          <w:sz w:val="24"/>
        </w:rPr>
      </w:pPr>
      <w:r>
        <w:rPr>
          <w:rFonts w:eastAsia="楷体_GB2312"/>
          <w:b/>
          <w:sz w:val="24"/>
        </w:rPr>
        <w:t>日期_______________</w:t>
      </w:r>
    </w:p>
    <w:p w14:paraId="1777A93F">
      <w:pPr>
        <w:spacing w:line="380" w:lineRule="exact"/>
        <w:rPr>
          <w:rFonts w:eastAsia="楷体_GB2312"/>
          <w:b/>
          <w:sz w:val="24"/>
        </w:rPr>
      </w:pPr>
    </w:p>
    <w:p w14:paraId="64A4A42F">
      <w:pPr>
        <w:spacing w:line="380" w:lineRule="exact"/>
        <w:rPr>
          <w:rFonts w:eastAsia="楷体_GB2312"/>
          <w:b/>
          <w:sz w:val="24"/>
        </w:rPr>
      </w:pPr>
      <w:r>
        <w:rPr>
          <w:rFonts w:eastAsia="楷体_GB2312"/>
          <w:b/>
          <w:sz w:val="24"/>
        </w:rPr>
        <w:t>敬启者</w:t>
      </w:r>
    </w:p>
    <w:p w14:paraId="1B3B9829">
      <w:pPr>
        <w:spacing w:line="380" w:lineRule="exact"/>
        <w:rPr>
          <w:rFonts w:eastAsia="楷体_GB2312"/>
          <w:sz w:val="24"/>
        </w:rPr>
      </w:pPr>
    </w:p>
    <w:p w14:paraId="584924C0">
      <w:pPr>
        <w:spacing w:line="380" w:lineRule="exact"/>
        <w:rPr>
          <w:rFonts w:eastAsia="楷体_GB2312"/>
          <w:sz w:val="24"/>
        </w:rPr>
      </w:pPr>
      <w:r>
        <w:rPr>
          <w:rFonts w:eastAsia="楷体_GB2312"/>
          <w:sz w:val="24"/>
        </w:rPr>
        <w:t>根据【发起机构全称】（“【发起机构简称】”）与【受托机构全称】签署的编号为【信托合同编号】的《【信托名称】之信托合同》（“《信托合同》”）、【发起机构简称】和【受托机构全称】于【</w:t>
      </w:r>
      <w:r>
        <w:rPr>
          <w:rFonts w:eastAsia="楷体_GB2312"/>
          <w:i/>
          <w:sz w:val="24"/>
        </w:rPr>
        <w:t>日期</w:t>
      </w:r>
      <w:r>
        <w:rPr>
          <w:rFonts w:eastAsia="楷体_GB2312"/>
          <w:sz w:val="24"/>
        </w:rPr>
        <w:t>】在【</w:t>
      </w:r>
      <w:r>
        <w:rPr>
          <w:rFonts w:eastAsia="楷体_GB2312"/>
          <w:i/>
          <w:sz w:val="24"/>
        </w:rPr>
        <w:t>公共媒体</w:t>
      </w:r>
      <w:r>
        <w:rPr>
          <w:rFonts w:eastAsia="楷体_GB2312"/>
          <w:sz w:val="24"/>
        </w:rPr>
        <w:t>】刊登的信托公告（“信托公告”），【发起机构简称】已将包括您提供担保的贷款（具体信息见本通知附件）在内的特定贷款债权及其附属权益（现有的和将来的、实际的和或有的）全部信托予/转让给【受托机构全称】。</w:t>
      </w:r>
    </w:p>
    <w:p w14:paraId="0913BB03">
      <w:pPr>
        <w:spacing w:line="380" w:lineRule="exact"/>
        <w:rPr>
          <w:rFonts w:eastAsia="楷体_GB2312"/>
          <w:sz w:val="24"/>
        </w:rPr>
      </w:pPr>
    </w:p>
    <w:p w14:paraId="54FA0CB9">
      <w:pPr>
        <w:spacing w:line="380" w:lineRule="exact"/>
        <w:rPr>
          <w:rFonts w:eastAsia="楷体_GB2312"/>
          <w:sz w:val="24"/>
        </w:rPr>
      </w:pPr>
      <w:r>
        <w:rPr>
          <w:rFonts w:eastAsia="楷体_GB2312"/>
          <w:sz w:val="24"/>
        </w:rPr>
        <w:t>自【</w:t>
      </w:r>
      <w:r>
        <w:rPr>
          <w:rFonts w:eastAsia="楷体_GB2312"/>
          <w:i/>
          <w:sz w:val="24"/>
        </w:rPr>
        <w:t>日期</w:t>
      </w:r>
      <w:r>
        <w:rPr>
          <w:rFonts w:eastAsia="楷体_GB2312"/>
          <w:sz w:val="24"/>
        </w:rPr>
        <w:t>】起，与该笔贷款及相关附属权益有关的所有权利，均由【受托机构全称】（为资产支持证券持有人的利益）行使，【发起机构简称】有义务继续履行其在与您的《保证合同》/《抵押合同》/《质押合同》中应承担的义务。该项转让行为并未改变【发起机构简称】与借款人签署的《借款合同》的其他内容，不会给您的利益带来不利影响；您应继续履行原《保证合同》/《抵押合同》/《质押合同》项下的担保义务。</w:t>
      </w:r>
    </w:p>
    <w:p w14:paraId="17C6FC9C">
      <w:pPr>
        <w:spacing w:line="360" w:lineRule="auto"/>
        <w:rPr>
          <w:rFonts w:eastAsia="楷体_GB2312"/>
          <w:i/>
          <w:iCs/>
          <w:color w:val="000000"/>
          <w:sz w:val="24"/>
        </w:rPr>
      </w:pPr>
    </w:p>
    <w:p w14:paraId="47D5B9A0">
      <w:pPr>
        <w:spacing w:line="360" w:lineRule="auto"/>
        <w:rPr>
          <w:rFonts w:eastAsia="楷体_GB2312"/>
          <w:color w:val="000000"/>
          <w:sz w:val="24"/>
        </w:rPr>
      </w:pPr>
      <w:r>
        <w:rPr>
          <w:rFonts w:eastAsia="楷体_GB2312"/>
          <w:i/>
          <w:iCs/>
          <w:color w:val="000000"/>
          <w:sz w:val="24"/>
        </w:rPr>
        <w:t>（本段不适用于“权利完善事件”</w:t>
      </w:r>
      <w:bookmarkStart w:id="759" w:name="_Hlk221182660"/>
      <w:r>
        <w:rPr>
          <w:rFonts w:eastAsia="楷体_GB2312"/>
          <w:i/>
          <w:iCs/>
          <w:color w:val="000000"/>
          <w:sz w:val="24"/>
        </w:rPr>
        <w:t>(a)项及(d)项）</w:t>
      </w:r>
      <w:bookmarkEnd w:id="759"/>
      <w:r>
        <w:rPr>
          <w:rFonts w:eastAsia="楷体_GB2312"/>
          <w:color w:val="000000"/>
          <w:sz w:val="24"/>
        </w:rPr>
        <w:t>根据【贷款服务机构全称】与【受托机构全称】于【】年【】月【】日签署的编号为【服务合同编号】的《</w:t>
      </w:r>
      <w:r>
        <w:rPr>
          <w:rFonts w:eastAsia="楷体_GB2312"/>
          <w:sz w:val="24"/>
        </w:rPr>
        <w:t>【信托名称】</w:t>
      </w:r>
      <w:r>
        <w:rPr>
          <w:rFonts w:eastAsia="楷体_GB2312"/>
          <w:color w:val="000000"/>
          <w:sz w:val="24"/>
        </w:rPr>
        <w:t>服务合同》（“《服务合同》”），【受托机构全称】已委托【贷款服务机构全称】担任您所担保的该笔贷款的贷款服务机构，继续处理与您所担保的该笔贷款相关的未来回收工作（包括根据</w:t>
      </w:r>
      <w:r>
        <w:rPr>
          <w:rFonts w:eastAsia="楷体_GB2312"/>
          <w:sz w:val="24"/>
        </w:rPr>
        <w:t>《保证合同》/《抵押合同》/《质押合同》</w:t>
      </w:r>
      <w:r>
        <w:rPr>
          <w:rFonts w:eastAsia="楷体_GB2312"/>
          <w:color w:val="000000"/>
          <w:sz w:val="24"/>
        </w:rPr>
        <w:t>的约定向您主张权利），直到贷款的款项全部还清或我们向您发出进一步通知。</w:t>
      </w:r>
    </w:p>
    <w:p w14:paraId="6D3EF781">
      <w:pPr>
        <w:spacing w:line="380" w:lineRule="exact"/>
        <w:rPr>
          <w:rFonts w:eastAsia="楷体_GB2312"/>
          <w:sz w:val="24"/>
        </w:rPr>
      </w:pPr>
    </w:p>
    <w:p w14:paraId="23A9FB8A">
      <w:pPr>
        <w:spacing w:line="380" w:lineRule="exact"/>
        <w:rPr>
          <w:rFonts w:eastAsia="楷体_GB2312"/>
          <w:sz w:val="24"/>
        </w:rPr>
      </w:pPr>
      <w:r>
        <w:rPr>
          <w:rFonts w:eastAsia="楷体_GB2312"/>
          <w:sz w:val="24"/>
        </w:rPr>
        <w:t>自【</w:t>
      </w:r>
      <w:r>
        <w:rPr>
          <w:rFonts w:eastAsia="楷体_GB2312"/>
          <w:i/>
          <w:sz w:val="24"/>
        </w:rPr>
        <w:t>日期</w:t>
      </w:r>
      <w:r>
        <w:rPr>
          <w:rFonts w:eastAsia="楷体_GB2312"/>
          <w:sz w:val="24"/>
        </w:rPr>
        <w:t>】起，您履行保证/抵押/质押担保责任时，应向如下“信托账户”还款，直到贷款全部还清或我们向您发出进一步通知。</w:t>
      </w:r>
    </w:p>
    <w:p w14:paraId="4B23915C">
      <w:pPr>
        <w:spacing w:line="380" w:lineRule="exact"/>
        <w:rPr>
          <w:rFonts w:eastAsia="楷体_GB2312"/>
          <w:sz w:val="24"/>
        </w:rPr>
      </w:pPr>
    </w:p>
    <w:p w14:paraId="2E8C410D">
      <w:pPr>
        <w:spacing w:line="380" w:lineRule="exact"/>
        <w:rPr>
          <w:rFonts w:eastAsia="楷体_GB2312"/>
          <w:sz w:val="24"/>
        </w:rPr>
      </w:pPr>
      <w:r>
        <w:rPr>
          <w:rFonts w:eastAsia="楷体_GB2312"/>
          <w:sz w:val="24"/>
        </w:rPr>
        <w:t>“信托账户”的信息如下：</w:t>
      </w:r>
    </w:p>
    <w:p w14:paraId="55A86644">
      <w:pPr>
        <w:spacing w:line="380" w:lineRule="exact"/>
        <w:rPr>
          <w:rFonts w:eastAsia="楷体_GB2312"/>
          <w:sz w:val="24"/>
        </w:rPr>
      </w:pPr>
      <w:r>
        <w:rPr>
          <w:rFonts w:eastAsia="楷体_GB2312"/>
          <w:sz w:val="24"/>
        </w:rPr>
        <w:t>账号：【】</w:t>
      </w:r>
    </w:p>
    <w:p w14:paraId="386810AD">
      <w:pPr>
        <w:spacing w:line="380" w:lineRule="exact"/>
        <w:rPr>
          <w:rFonts w:eastAsia="楷体_GB2312"/>
          <w:sz w:val="24"/>
        </w:rPr>
      </w:pPr>
      <w:r>
        <w:rPr>
          <w:rFonts w:eastAsia="楷体_GB2312"/>
          <w:sz w:val="24"/>
        </w:rPr>
        <w:t>户名：【】</w:t>
      </w:r>
    </w:p>
    <w:p w14:paraId="0B548BC0">
      <w:pPr>
        <w:spacing w:line="380" w:lineRule="exact"/>
        <w:rPr>
          <w:rFonts w:eastAsia="楷体_GB2312"/>
          <w:sz w:val="24"/>
        </w:rPr>
      </w:pPr>
      <w:r>
        <w:rPr>
          <w:rFonts w:eastAsia="楷体_GB2312"/>
          <w:sz w:val="24"/>
        </w:rPr>
        <w:t>开户行：【】</w:t>
      </w:r>
    </w:p>
    <w:p w14:paraId="4582027E">
      <w:pPr>
        <w:spacing w:line="380" w:lineRule="exact"/>
        <w:rPr>
          <w:rFonts w:eastAsia="楷体_GB2312"/>
          <w:sz w:val="24"/>
        </w:rPr>
      </w:pPr>
      <w:r>
        <w:rPr>
          <w:rFonts w:eastAsia="楷体_GB2312"/>
          <w:sz w:val="24"/>
        </w:rPr>
        <w:t>大额支付号：【】</w:t>
      </w:r>
    </w:p>
    <w:p w14:paraId="27A66907">
      <w:pPr>
        <w:spacing w:line="380" w:lineRule="exact"/>
        <w:rPr>
          <w:rFonts w:eastAsia="楷体_GB2312"/>
          <w:sz w:val="24"/>
        </w:rPr>
      </w:pPr>
    </w:p>
    <w:p w14:paraId="3617EF6F">
      <w:pPr>
        <w:spacing w:line="380" w:lineRule="exact"/>
        <w:rPr>
          <w:rFonts w:eastAsia="楷体_GB2312"/>
          <w:sz w:val="24"/>
        </w:rPr>
      </w:pPr>
      <w:r>
        <w:rPr>
          <w:rFonts w:eastAsia="楷体_GB2312"/>
          <w:sz w:val="24"/>
        </w:rPr>
        <w:t>如果您对本通知内容或您所担保的贷款的转让有任何问题，请按如下方式进行查询：</w:t>
      </w:r>
    </w:p>
    <w:p w14:paraId="4F495083">
      <w:pPr>
        <w:spacing w:line="380" w:lineRule="exact"/>
        <w:rPr>
          <w:rFonts w:eastAsia="楷体_GB2312"/>
          <w:sz w:val="24"/>
        </w:rPr>
      </w:pPr>
    </w:p>
    <w:p w14:paraId="4AA28D9A">
      <w:pPr>
        <w:spacing w:line="380" w:lineRule="exact"/>
        <w:rPr>
          <w:rFonts w:eastAsia="楷体_GB2312"/>
          <w:sz w:val="24"/>
        </w:rPr>
      </w:pPr>
      <w:r>
        <w:rPr>
          <w:rFonts w:eastAsia="楷体_GB2312"/>
          <w:sz w:val="24"/>
        </w:rPr>
        <w:t>联系地址：</w:t>
      </w:r>
      <w:r>
        <w:rPr>
          <w:rFonts w:eastAsia="楷体_GB2312"/>
          <w:sz w:val="24"/>
        </w:rPr>
        <w:br w:type="textWrapping"/>
      </w:r>
      <w:r>
        <w:rPr>
          <w:rFonts w:eastAsia="楷体_GB2312"/>
          <w:sz w:val="24"/>
        </w:rPr>
        <w:t>联系人：</w:t>
      </w:r>
      <w:r>
        <w:rPr>
          <w:rFonts w:eastAsia="楷体_GB2312"/>
          <w:sz w:val="24"/>
        </w:rPr>
        <w:br w:type="textWrapping"/>
      </w:r>
      <w:r>
        <w:rPr>
          <w:rFonts w:eastAsia="楷体_GB2312"/>
          <w:sz w:val="24"/>
        </w:rPr>
        <w:t>联系电话：</w:t>
      </w:r>
      <w:r>
        <w:rPr>
          <w:rFonts w:eastAsia="楷体_GB2312"/>
          <w:sz w:val="24"/>
        </w:rPr>
        <w:br w:type="textWrapping"/>
      </w:r>
      <w:r>
        <w:rPr>
          <w:rFonts w:eastAsia="楷体_GB2312"/>
          <w:sz w:val="24"/>
        </w:rPr>
        <w:t>传真：</w:t>
      </w:r>
    </w:p>
    <w:p w14:paraId="591F28E2">
      <w:pPr>
        <w:spacing w:line="380" w:lineRule="exact"/>
        <w:rPr>
          <w:rFonts w:eastAsia="楷体_GB2312"/>
          <w:sz w:val="24"/>
        </w:rPr>
      </w:pPr>
    </w:p>
    <w:p w14:paraId="1B703B13">
      <w:pPr>
        <w:spacing w:line="380" w:lineRule="exact"/>
        <w:rPr>
          <w:rFonts w:eastAsia="楷体_GB2312"/>
          <w:sz w:val="24"/>
        </w:rPr>
      </w:pPr>
    </w:p>
    <w:p w14:paraId="3B96FAA1">
      <w:pPr>
        <w:spacing w:line="380" w:lineRule="exact"/>
        <w:rPr>
          <w:rFonts w:eastAsia="楷体_GB2312"/>
          <w:b/>
          <w:sz w:val="24"/>
        </w:rPr>
      </w:pPr>
      <w:r>
        <w:rPr>
          <w:rFonts w:eastAsia="楷体_GB2312"/>
          <w:b/>
          <w:sz w:val="24"/>
        </w:rPr>
        <w:t>【发起机构全称】</w:t>
      </w:r>
      <w:r>
        <w:rPr>
          <w:rFonts w:eastAsia="楷体_GB2312"/>
          <w:sz w:val="24"/>
        </w:rPr>
        <w:t>（作为“委托人”、“发起机构”）（公章）</w:t>
      </w:r>
    </w:p>
    <w:p w14:paraId="2A19CB34">
      <w:pPr>
        <w:spacing w:line="380" w:lineRule="exact"/>
        <w:rPr>
          <w:rFonts w:eastAsia="楷体_GB2312"/>
          <w:sz w:val="24"/>
        </w:rPr>
      </w:pPr>
    </w:p>
    <w:p w14:paraId="3A956621">
      <w:pPr>
        <w:spacing w:line="380" w:lineRule="exact"/>
        <w:rPr>
          <w:rFonts w:eastAsia="楷体_GB2312"/>
          <w:sz w:val="24"/>
        </w:rPr>
      </w:pPr>
      <w:r>
        <w:rPr>
          <w:rFonts w:eastAsia="楷体_GB2312"/>
          <w:sz w:val="24"/>
        </w:rPr>
        <w:t>法定代表人或授权代理人：</w:t>
      </w:r>
    </w:p>
    <w:p w14:paraId="107BCA78">
      <w:pPr>
        <w:spacing w:line="380" w:lineRule="exact"/>
        <w:rPr>
          <w:rFonts w:eastAsia="楷体_GB2312"/>
          <w:sz w:val="24"/>
        </w:rPr>
      </w:pPr>
    </w:p>
    <w:p w14:paraId="78132632">
      <w:pPr>
        <w:spacing w:line="380" w:lineRule="exact"/>
        <w:rPr>
          <w:rFonts w:eastAsia="楷体_GB2312"/>
          <w:sz w:val="24"/>
        </w:rPr>
      </w:pPr>
      <w:r>
        <w:rPr>
          <w:rFonts w:eastAsia="楷体_GB2312"/>
          <w:sz w:val="24"/>
        </w:rPr>
        <w:t>签署日期：【】年【】月【】日</w:t>
      </w:r>
    </w:p>
    <w:p w14:paraId="11AD4CBF">
      <w:pPr>
        <w:spacing w:line="380" w:lineRule="exact"/>
        <w:rPr>
          <w:rFonts w:eastAsia="楷体_GB2312"/>
          <w:sz w:val="24"/>
        </w:rPr>
      </w:pPr>
    </w:p>
    <w:p w14:paraId="4065E32D">
      <w:pPr>
        <w:spacing w:line="380" w:lineRule="exact"/>
        <w:rPr>
          <w:rFonts w:eastAsia="楷体_GB2312"/>
          <w:b/>
          <w:sz w:val="24"/>
        </w:rPr>
      </w:pPr>
      <w:r>
        <w:rPr>
          <w:rFonts w:eastAsia="楷体_GB2312"/>
          <w:b/>
          <w:sz w:val="24"/>
        </w:rPr>
        <w:t>附件：</w:t>
      </w:r>
    </w:p>
    <w:p w14:paraId="1FC8FA22">
      <w:pPr>
        <w:spacing w:line="380" w:lineRule="exact"/>
        <w:rPr>
          <w:rFonts w:eastAsia="楷体_GB2312"/>
          <w:sz w:val="24"/>
        </w:rPr>
      </w:pPr>
      <w:r>
        <w:rPr>
          <w:rFonts w:eastAsia="楷体_GB2312"/>
          <w:sz w:val="24"/>
        </w:rPr>
        <w:t>借款合同编号：</w:t>
      </w:r>
    </w:p>
    <w:p w14:paraId="7C30BA72">
      <w:pPr>
        <w:spacing w:line="380" w:lineRule="exact"/>
        <w:rPr>
          <w:rFonts w:eastAsia="楷体_GB2312"/>
          <w:sz w:val="24"/>
        </w:rPr>
      </w:pPr>
      <w:r>
        <w:rPr>
          <w:rFonts w:eastAsia="楷体_GB2312"/>
          <w:sz w:val="24"/>
        </w:rPr>
        <w:t>借款人名称/姓名：</w:t>
      </w:r>
    </w:p>
    <w:p w14:paraId="746DAE48">
      <w:pPr>
        <w:spacing w:line="380" w:lineRule="exact"/>
        <w:rPr>
          <w:rFonts w:eastAsia="楷体_GB2312"/>
          <w:sz w:val="24"/>
        </w:rPr>
      </w:pPr>
      <w:r>
        <w:rPr>
          <w:rFonts w:eastAsia="楷体_GB2312"/>
          <w:sz w:val="24"/>
        </w:rPr>
        <w:t>保证合同编号：</w:t>
      </w:r>
    </w:p>
    <w:p w14:paraId="2EC3FE90">
      <w:pPr>
        <w:spacing w:line="380" w:lineRule="exact"/>
        <w:rPr>
          <w:rFonts w:eastAsia="楷体_GB2312"/>
          <w:sz w:val="24"/>
        </w:rPr>
      </w:pPr>
      <w:r>
        <w:rPr>
          <w:rFonts w:eastAsia="楷体_GB2312"/>
          <w:sz w:val="24"/>
        </w:rPr>
        <w:t>保证人名称/姓名：</w:t>
      </w:r>
    </w:p>
    <w:p w14:paraId="30099E46">
      <w:pPr>
        <w:spacing w:line="380" w:lineRule="exact"/>
        <w:rPr>
          <w:rFonts w:eastAsia="楷体_GB2312"/>
          <w:sz w:val="24"/>
        </w:rPr>
      </w:pPr>
      <w:r>
        <w:rPr>
          <w:rFonts w:eastAsia="楷体_GB2312"/>
          <w:sz w:val="24"/>
        </w:rPr>
        <w:t>抵押合同编号：</w:t>
      </w:r>
    </w:p>
    <w:p w14:paraId="7C09B39A">
      <w:pPr>
        <w:spacing w:line="380" w:lineRule="exact"/>
        <w:rPr>
          <w:rFonts w:eastAsia="楷体_GB2312"/>
          <w:sz w:val="24"/>
        </w:rPr>
      </w:pPr>
      <w:r>
        <w:rPr>
          <w:rFonts w:eastAsia="楷体_GB2312"/>
          <w:sz w:val="24"/>
        </w:rPr>
        <w:t>抵押人名称/姓名：</w:t>
      </w:r>
    </w:p>
    <w:p w14:paraId="1B3C026D">
      <w:pPr>
        <w:spacing w:line="380" w:lineRule="exact"/>
        <w:rPr>
          <w:rFonts w:eastAsia="楷体_GB2312"/>
          <w:sz w:val="24"/>
        </w:rPr>
      </w:pPr>
      <w:r>
        <w:rPr>
          <w:rFonts w:eastAsia="楷体_GB2312"/>
          <w:sz w:val="24"/>
        </w:rPr>
        <w:t>抵押物所在地：</w:t>
      </w:r>
    </w:p>
    <w:p w14:paraId="6835BD3A">
      <w:pPr>
        <w:spacing w:line="380" w:lineRule="exact"/>
        <w:rPr>
          <w:rFonts w:eastAsia="楷体_GB2312"/>
          <w:sz w:val="24"/>
        </w:rPr>
      </w:pPr>
      <w:r>
        <w:rPr>
          <w:rFonts w:eastAsia="楷体_GB2312"/>
          <w:sz w:val="24"/>
        </w:rPr>
        <w:t>质押合同编号：</w:t>
      </w:r>
    </w:p>
    <w:p w14:paraId="70A94BA9">
      <w:pPr>
        <w:spacing w:line="380" w:lineRule="exact"/>
        <w:rPr>
          <w:rFonts w:eastAsia="楷体_GB2312"/>
          <w:sz w:val="24"/>
        </w:rPr>
      </w:pPr>
      <w:r>
        <w:rPr>
          <w:rFonts w:eastAsia="楷体_GB2312"/>
          <w:sz w:val="24"/>
        </w:rPr>
        <w:t>出质人名称/姓名：</w:t>
      </w:r>
    </w:p>
    <w:p w14:paraId="29C87A52">
      <w:pPr>
        <w:spacing w:line="380" w:lineRule="exact"/>
        <w:rPr>
          <w:rFonts w:eastAsia="楷体_GB2312"/>
          <w:sz w:val="24"/>
        </w:rPr>
      </w:pPr>
      <w:r>
        <w:rPr>
          <w:rFonts w:eastAsia="楷体_GB2312"/>
          <w:sz w:val="24"/>
        </w:rPr>
        <w:t>质押财产：</w:t>
      </w:r>
    </w:p>
    <w:p w14:paraId="0B09733C">
      <w:pPr>
        <w:spacing w:line="380" w:lineRule="exact"/>
        <w:rPr>
          <w:rFonts w:eastAsia="楷体_GB2312"/>
          <w:sz w:val="24"/>
        </w:rPr>
      </w:pPr>
      <w:r>
        <w:rPr>
          <w:rFonts w:eastAsia="楷体_GB2312"/>
          <w:sz w:val="24"/>
        </w:rPr>
        <w:t>剩余本金余额：</w:t>
      </w:r>
    </w:p>
    <w:p w14:paraId="0496774D">
      <w:pPr>
        <w:spacing w:line="380" w:lineRule="exact"/>
        <w:jc w:val="left"/>
        <w:outlineLvl w:val="0"/>
        <w:rPr>
          <w:rFonts w:eastAsia="楷体_GB2312"/>
          <w:b/>
          <w:sz w:val="24"/>
        </w:rPr>
      </w:pPr>
      <w:r>
        <w:rPr>
          <w:rFonts w:eastAsia="楷体_GB2312"/>
          <w:b/>
          <w:sz w:val="24"/>
        </w:rPr>
        <w:br w:type="page"/>
      </w:r>
      <w:bookmarkStart w:id="760" w:name="_Toc221382879"/>
      <w:bookmarkStart w:id="761" w:name="_Toc12866"/>
      <w:bookmarkStart w:id="762" w:name="_Toc373951575"/>
      <w:r>
        <w:rPr>
          <w:rFonts w:eastAsia="楷体_GB2312"/>
          <w:b/>
          <w:sz w:val="24"/>
        </w:rPr>
        <w:t>附件四：授权书的格式</w:t>
      </w:r>
      <w:bookmarkEnd w:id="760"/>
      <w:bookmarkEnd w:id="761"/>
      <w:bookmarkEnd w:id="762"/>
    </w:p>
    <w:p w14:paraId="1B6B88C9">
      <w:pPr>
        <w:spacing w:line="380" w:lineRule="atLeast"/>
        <w:rPr>
          <w:rFonts w:eastAsia="楷体_GB2312"/>
          <w:sz w:val="24"/>
        </w:rPr>
      </w:pPr>
    </w:p>
    <w:p w14:paraId="076B4943">
      <w:pPr>
        <w:jc w:val="center"/>
        <w:rPr>
          <w:rFonts w:eastAsia="楷体_GB2312"/>
          <w:b/>
          <w:sz w:val="24"/>
        </w:rPr>
      </w:pPr>
      <w:r>
        <w:rPr>
          <w:rFonts w:eastAsia="楷体_GB2312"/>
          <w:b/>
          <w:sz w:val="24"/>
        </w:rPr>
        <w:t>权利完善通知之授权书</w:t>
      </w:r>
    </w:p>
    <w:p w14:paraId="39E63255">
      <w:pPr>
        <w:jc w:val="center"/>
        <w:rPr>
          <w:rFonts w:eastAsia="楷体_GB2312"/>
          <w:sz w:val="24"/>
        </w:rPr>
      </w:pPr>
    </w:p>
    <w:p w14:paraId="4F25BA0C">
      <w:pPr>
        <w:spacing w:line="380" w:lineRule="exact"/>
        <w:rPr>
          <w:rFonts w:eastAsia="楷体_GB2312"/>
          <w:sz w:val="24"/>
        </w:rPr>
      </w:pPr>
      <w:r>
        <w:rPr>
          <w:rFonts w:eastAsia="楷体_GB2312"/>
          <w:color w:val="000000"/>
          <w:sz w:val="24"/>
        </w:rPr>
        <w:t>【受托机构全称】</w:t>
      </w:r>
      <w:r>
        <w:rPr>
          <w:rFonts w:eastAsia="楷体_GB2312"/>
          <w:sz w:val="24"/>
        </w:rPr>
        <w:t>：</w:t>
      </w:r>
    </w:p>
    <w:p w14:paraId="755F5006">
      <w:pPr>
        <w:spacing w:line="380" w:lineRule="exact"/>
        <w:rPr>
          <w:rFonts w:eastAsia="楷体_GB2312"/>
          <w:sz w:val="24"/>
        </w:rPr>
      </w:pPr>
    </w:p>
    <w:p w14:paraId="648DE512">
      <w:pPr>
        <w:spacing w:line="380" w:lineRule="exact"/>
        <w:ind w:firstLine="420"/>
        <w:rPr>
          <w:rFonts w:eastAsia="楷体_GB2312"/>
          <w:sz w:val="24"/>
        </w:rPr>
      </w:pPr>
      <w:r>
        <w:rPr>
          <w:rFonts w:eastAsia="楷体_GB2312"/>
          <w:sz w:val="24"/>
        </w:rPr>
        <w:t>鉴于本行作为委托人，于【】年【】月【】日与贵公司签署了编号为【信托合同编号】的《</w:t>
      </w:r>
      <w:r>
        <w:rPr>
          <w:rFonts w:eastAsia="楷体_GB2312"/>
          <w:color w:val="000000"/>
          <w:sz w:val="24"/>
        </w:rPr>
        <w:t>【信托名称】之信托合同</w:t>
      </w:r>
      <w:r>
        <w:rPr>
          <w:rFonts w:eastAsia="楷体_GB2312"/>
          <w:sz w:val="24"/>
        </w:rPr>
        <w:t>》（“《信托合同》”），将“信贷资产”信托予贵公司，设立</w:t>
      </w:r>
      <w:r>
        <w:rPr>
          <w:rFonts w:eastAsia="楷体_GB2312"/>
          <w:color w:val="000000"/>
          <w:sz w:val="24"/>
        </w:rPr>
        <w:t>【信托名称】</w:t>
      </w:r>
      <w:r>
        <w:rPr>
          <w:rFonts w:eastAsia="楷体_GB2312"/>
          <w:sz w:val="24"/>
        </w:rPr>
        <w:t>（“信托”）并拟根据“《信托合同》”约定将“新增信贷资产”出售给贵公司。根据“《信托合同》”第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款的约定，发生“权利完善事件”</w:t>
      </w:r>
      <w:r>
        <w:rPr>
          <w:rFonts w:eastAsia="楷体_GB2312"/>
          <w:color w:val="000000"/>
          <w:sz w:val="24"/>
        </w:rPr>
        <w:t>后的【】个“工作日”内，</w:t>
      </w:r>
      <w:r>
        <w:rPr>
          <w:rFonts w:eastAsia="楷体_GB2312"/>
          <w:sz w:val="24"/>
        </w:rPr>
        <w:t>本行应</w:t>
      </w:r>
      <w:r>
        <w:rPr>
          <w:rFonts w:eastAsia="楷体_GB2312"/>
          <w:color w:val="000000"/>
          <w:sz w:val="24"/>
        </w:rPr>
        <w:t>以挂号信或特快专递等方式</w:t>
      </w:r>
      <w:r>
        <w:rPr>
          <w:rFonts w:eastAsia="楷体_GB2312"/>
          <w:sz w:val="24"/>
        </w:rPr>
        <w:t>向相关的“借款人”、“担保人”（如有）发出“权利完善通知”（格式见“《信托合同》”附件三）。根据“《信托合同》”第</w:t>
      </w:r>
      <w:r>
        <w:rPr>
          <w:rFonts w:eastAsia="楷体_GB2312"/>
          <w:sz w:val="24"/>
        </w:rPr>
        <w:fldChar w:fldCharType="begin"/>
      </w:r>
      <w:r>
        <w:rPr>
          <w:rFonts w:eastAsia="楷体_GB2312"/>
          <w:sz w:val="24"/>
        </w:rPr>
        <w:instrText xml:space="preserve"> REF _Ref221378020 \r \h  \* MERGEFORMAT </w:instrText>
      </w:r>
      <w:r>
        <w:rPr>
          <w:rFonts w:eastAsia="楷体_GB2312"/>
          <w:sz w:val="24"/>
        </w:rPr>
        <w:fldChar w:fldCharType="separate"/>
      </w:r>
      <w:r>
        <w:rPr>
          <w:rFonts w:eastAsia="楷体_GB2312"/>
          <w:sz w:val="24"/>
        </w:rPr>
        <w:t>3.13.3</w:t>
      </w:r>
      <w:r>
        <w:rPr>
          <w:rFonts w:eastAsia="楷体_GB2312"/>
          <w:sz w:val="24"/>
        </w:rPr>
        <w:fldChar w:fldCharType="end"/>
      </w:r>
      <w:r>
        <w:rPr>
          <w:rFonts w:eastAsia="楷体_GB2312"/>
          <w:sz w:val="24"/>
        </w:rPr>
        <w:t>款的约定，本行在此无条件、不可撤销地向贵公司授权如下：</w:t>
      </w:r>
    </w:p>
    <w:p w14:paraId="3299DD26">
      <w:pPr>
        <w:spacing w:line="380" w:lineRule="exact"/>
        <w:rPr>
          <w:rFonts w:eastAsia="楷体_GB2312"/>
          <w:sz w:val="24"/>
        </w:rPr>
      </w:pPr>
    </w:p>
    <w:p w14:paraId="53C5CD13">
      <w:pPr>
        <w:spacing w:line="380" w:lineRule="exact"/>
        <w:ind w:firstLine="420"/>
        <w:rPr>
          <w:rFonts w:eastAsia="楷体_GB2312"/>
          <w:sz w:val="24"/>
        </w:rPr>
      </w:pPr>
      <w:r>
        <w:rPr>
          <w:rFonts w:eastAsia="楷体_GB2312"/>
          <w:sz w:val="24"/>
        </w:rPr>
        <w:t>如果本行未按照“《信托合同》”第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款的约定履行发送“权利完善通知”的义务，本行无条件、不可撤销地授权贵公司以本行的名义代为履行“《信托合同》”第</w:t>
      </w:r>
      <w:r>
        <w:rPr>
          <w:rFonts w:eastAsia="楷体_GB2312"/>
          <w:sz w:val="24"/>
        </w:rPr>
        <w:fldChar w:fldCharType="begin"/>
      </w:r>
      <w:r>
        <w:rPr>
          <w:rFonts w:eastAsia="楷体_GB2312"/>
          <w:sz w:val="24"/>
        </w:rPr>
        <w:instrText xml:space="preserve"> REF _Ref169350764 \r \h  \* MERGEFORMAT </w:instrText>
      </w:r>
      <w:r>
        <w:rPr>
          <w:rFonts w:eastAsia="楷体_GB2312"/>
          <w:sz w:val="24"/>
        </w:rPr>
        <w:fldChar w:fldCharType="separate"/>
      </w:r>
      <w:r>
        <w:rPr>
          <w:rFonts w:eastAsia="楷体_GB2312"/>
          <w:sz w:val="24"/>
        </w:rPr>
        <w:t>3.13.2</w:t>
      </w:r>
      <w:r>
        <w:rPr>
          <w:rFonts w:eastAsia="楷体_GB2312"/>
          <w:sz w:val="24"/>
        </w:rPr>
        <w:fldChar w:fldCharType="end"/>
      </w:r>
      <w:r>
        <w:rPr>
          <w:rFonts w:eastAsia="楷体_GB2312"/>
          <w:sz w:val="24"/>
        </w:rPr>
        <w:t>款约定的通知义务，并同意认可和确认贵公司根据本授权书合法做出的一切行为。</w:t>
      </w:r>
    </w:p>
    <w:p w14:paraId="66593CAC">
      <w:pPr>
        <w:spacing w:line="380" w:lineRule="exact"/>
        <w:ind w:firstLine="420"/>
        <w:rPr>
          <w:rFonts w:eastAsia="楷体_GB2312"/>
          <w:sz w:val="24"/>
        </w:rPr>
      </w:pPr>
    </w:p>
    <w:p w14:paraId="08798C79">
      <w:pPr>
        <w:spacing w:line="380" w:lineRule="exact"/>
        <w:ind w:firstLine="420"/>
        <w:rPr>
          <w:rFonts w:eastAsia="楷体_GB2312"/>
          <w:sz w:val="24"/>
        </w:rPr>
      </w:pPr>
      <w:r>
        <w:rPr>
          <w:rFonts w:eastAsia="楷体_GB2312"/>
          <w:sz w:val="24"/>
        </w:rPr>
        <w:t>除上下文特别说明以外，本授权书中所使用的词语，与编号为【主定义表编号】的《</w:t>
      </w:r>
      <w:r>
        <w:rPr>
          <w:rFonts w:eastAsia="楷体_GB2312"/>
          <w:color w:val="000000"/>
          <w:sz w:val="24"/>
        </w:rPr>
        <w:t>【信托名称】</w:t>
      </w:r>
      <w:r>
        <w:rPr>
          <w:rFonts w:eastAsia="楷体_GB2312"/>
          <w:sz w:val="24"/>
        </w:rPr>
        <w:t>主定义表》中所定义的相应词语，具有相同的含义。</w:t>
      </w:r>
    </w:p>
    <w:p w14:paraId="3A0EA658">
      <w:pPr>
        <w:spacing w:line="380" w:lineRule="exact"/>
        <w:ind w:firstLine="420"/>
        <w:rPr>
          <w:rFonts w:eastAsia="楷体_GB2312"/>
          <w:sz w:val="24"/>
        </w:rPr>
      </w:pPr>
    </w:p>
    <w:p w14:paraId="5F105422">
      <w:pPr>
        <w:spacing w:line="380" w:lineRule="exact"/>
        <w:ind w:firstLine="420"/>
        <w:rPr>
          <w:rFonts w:eastAsia="楷体_GB2312"/>
          <w:sz w:val="24"/>
        </w:rPr>
      </w:pPr>
      <w:r>
        <w:rPr>
          <w:rFonts w:eastAsia="楷体_GB2312"/>
          <w:sz w:val="24"/>
        </w:rPr>
        <w:t>本授权书的有效期为自签署之日起至“信托终止日”止。</w:t>
      </w:r>
    </w:p>
    <w:p w14:paraId="10789836">
      <w:pPr>
        <w:spacing w:line="380" w:lineRule="exact"/>
        <w:rPr>
          <w:rFonts w:eastAsia="楷体_GB2312"/>
          <w:sz w:val="24"/>
        </w:rPr>
      </w:pPr>
    </w:p>
    <w:p w14:paraId="7D740CC1">
      <w:pPr>
        <w:spacing w:line="380" w:lineRule="exact"/>
        <w:rPr>
          <w:rFonts w:eastAsia="楷体_GB2312"/>
          <w:sz w:val="24"/>
        </w:rPr>
      </w:pPr>
    </w:p>
    <w:p w14:paraId="681A50B5">
      <w:pPr>
        <w:wordWrap w:val="0"/>
        <w:spacing w:line="380" w:lineRule="exact"/>
        <w:jc w:val="right"/>
        <w:rPr>
          <w:rFonts w:eastAsia="楷体_GB2312"/>
          <w:b/>
          <w:sz w:val="24"/>
        </w:rPr>
      </w:pPr>
      <w:r>
        <w:rPr>
          <w:rFonts w:eastAsia="楷体_GB2312"/>
          <w:b/>
          <w:sz w:val="24"/>
        </w:rPr>
        <w:t>【发起机构全称】</w:t>
      </w:r>
      <w:r>
        <w:rPr>
          <w:rFonts w:eastAsia="楷体_GB2312"/>
          <w:color w:val="000000"/>
          <w:sz w:val="24"/>
        </w:rPr>
        <w:t>（公章）</w:t>
      </w:r>
    </w:p>
    <w:p w14:paraId="54970EB0">
      <w:pPr>
        <w:spacing w:line="380" w:lineRule="exact"/>
        <w:jc w:val="right"/>
        <w:rPr>
          <w:rFonts w:eastAsia="楷体_GB2312"/>
          <w:b/>
          <w:sz w:val="24"/>
        </w:rPr>
      </w:pPr>
    </w:p>
    <w:p w14:paraId="421B5519">
      <w:pPr>
        <w:wordWrap w:val="0"/>
        <w:spacing w:line="380" w:lineRule="exact"/>
        <w:jc w:val="right"/>
        <w:rPr>
          <w:rFonts w:eastAsia="楷体_GB2312"/>
          <w:b/>
          <w:sz w:val="24"/>
        </w:rPr>
      </w:pPr>
      <w:r>
        <w:rPr>
          <w:rFonts w:eastAsia="楷体_GB2312"/>
          <w:b/>
          <w:sz w:val="24"/>
        </w:rPr>
        <w:t>法定代表人或授权代理人</w:t>
      </w:r>
      <w:r>
        <w:rPr>
          <w:rFonts w:eastAsia="楷体_GB2312"/>
          <w:sz w:val="24"/>
        </w:rPr>
        <w:t xml:space="preserve">：          </w:t>
      </w:r>
    </w:p>
    <w:p w14:paraId="2D9C6DC9">
      <w:pPr>
        <w:spacing w:line="380" w:lineRule="exact"/>
        <w:jc w:val="right"/>
        <w:rPr>
          <w:rFonts w:eastAsia="楷体_GB2312"/>
          <w:b/>
          <w:sz w:val="24"/>
        </w:rPr>
      </w:pPr>
    </w:p>
    <w:p w14:paraId="652C795B">
      <w:pPr>
        <w:wordWrap w:val="0"/>
        <w:spacing w:line="380" w:lineRule="exact"/>
        <w:jc w:val="right"/>
        <w:rPr>
          <w:rFonts w:eastAsia="楷体_GB2312"/>
          <w:b/>
          <w:sz w:val="24"/>
        </w:rPr>
      </w:pPr>
      <w:r>
        <w:rPr>
          <w:rFonts w:eastAsia="楷体_GB2312"/>
          <w:b/>
          <w:sz w:val="24"/>
        </w:rPr>
        <w:t>年    月    日</w:t>
      </w:r>
    </w:p>
    <w:p w14:paraId="763880E1">
      <w:pPr>
        <w:spacing w:line="380" w:lineRule="atLeast"/>
        <w:rPr>
          <w:rFonts w:eastAsia="楷体_GB2312"/>
          <w:sz w:val="24"/>
        </w:rPr>
      </w:pPr>
    </w:p>
    <w:p w14:paraId="70B53C5C">
      <w:pPr>
        <w:spacing w:line="380" w:lineRule="atLeast"/>
        <w:rPr>
          <w:rFonts w:eastAsia="楷体_GB2312"/>
          <w:sz w:val="24"/>
        </w:rPr>
      </w:pPr>
    </w:p>
    <w:p w14:paraId="73D982BD">
      <w:pPr>
        <w:spacing w:line="380" w:lineRule="atLeast"/>
        <w:outlineLvl w:val="0"/>
        <w:rPr>
          <w:rFonts w:eastAsia="楷体_GB2312"/>
          <w:b/>
          <w:sz w:val="24"/>
        </w:rPr>
      </w:pPr>
      <w:r>
        <w:rPr>
          <w:rFonts w:eastAsia="楷体_GB2312"/>
        </w:rPr>
        <w:br w:type="page"/>
      </w:r>
      <w:bookmarkStart w:id="763" w:name="_DV_M802"/>
      <w:bookmarkEnd w:id="763"/>
      <w:bookmarkStart w:id="764" w:name="_Toc473511390"/>
      <w:bookmarkEnd w:id="764"/>
      <w:bookmarkStart w:id="765" w:name="_DV_M803"/>
      <w:bookmarkEnd w:id="765"/>
      <w:bookmarkStart w:id="766" w:name="_Toc11139647"/>
      <w:bookmarkEnd w:id="766"/>
      <w:bookmarkStart w:id="767" w:name="_DV_M801"/>
      <w:bookmarkEnd w:id="767"/>
      <w:bookmarkStart w:id="768" w:name="_Toc15369301"/>
      <w:bookmarkEnd w:id="768"/>
      <w:bookmarkStart w:id="769" w:name="_Toc13816330"/>
      <w:bookmarkEnd w:id="769"/>
    </w:p>
    <w:p w14:paraId="7A798D75">
      <w:pPr>
        <w:spacing w:line="380" w:lineRule="atLeast"/>
        <w:outlineLvl w:val="0"/>
        <w:rPr>
          <w:rFonts w:eastAsia="楷体_GB2312"/>
          <w:b/>
          <w:sz w:val="24"/>
        </w:rPr>
      </w:pPr>
      <w:bookmarkStart w:id="770" w:name="_Toc18302"/>
      <w:bookmarkStart w:id="771" w:name="_Toc373951576"/>
      <w:bookmarkStart w:id="772" w:name="_Toc51277243"/>
      <w:bookmarkStart w:id="773" w:name="_Toc221382880"/>
      <w:r>
        <w:rPr>
          <w:rFonts w:eastAsia="楷体_GB2312"/>
          <w:b/>
          <w:sz w:val="24"/>
        </w:rPr>
        <w:t>附件五：资产支持证券本金还款金额计算方式</w:t>
      </w:r>
      <w:bookmarkEnd w:id="770"/>
      <w:bookmarkEnd w:id="771"/>
      <w:bookmarkEnd w:id="772"/>
      <w:bookmarkEnd w:id="773"/>
    </w:p>
    <w:p w14:paraId="2434CB00">
      <w:pPr>
        <w:spacing w:line="380" w:lineRule="atLeast"/>
        <w:rPr>
          <w:rFonts w:eastAsia="楷体_GB2312"/>
          <w:sz w:val="24"/>
        </w:rPr>
      </w:pPr>
    </w:p>
    <w:p w14:paraId="185C7E78">
      <w:pPr>
        <w:spacing w:line="380" w:lineRule="exact"/>
        <w:ind w:firstLine="480" w:firstLineChars="200"/>
        <w:rPr>
          <w:rFonts w:eastAsia="楷体_GB2312"/>
          <w:sz w:val="24"/>
        </w:rPr>
      </w:pPr>
      <w:r>
        <w:rPr>
          <w:rFonts w:eastAsia="楷体_GB2312"/>
          <w:sz w:val="24"/>
        </w:rPr>
        <w:t>任何一期（“本期”）的资产支持证券的本金还款金额按照如下方式计算：</w:t>
      </w:r>
    </w:p>
    <w:p w14:paraId="2F6C6F4D">
      <w:pPr>
        <w:spacing w:line="380" w:lineRule="exact"/>
        <w:ind w:firstLine="480" w:firstLineChars="200"/>
        <w:rPr>
          <w:rFonts w:eastAsia="楷体_GB2312"/>
          <w:sz w:val="24"/>
        </w:rPr>
      </w:pPr>
    </w:p>
    <w:p w14:paraId="6DF6AF2B">
      <w:pPr>
        <w:spacing w:line="380" w:lineRule="exact"/>
        <w:ind w:firstLine="480" w:firstLineChars="200"/>
        <w:rPr>
          <w:rFonts w:eastAsia="楷体_GB2312"/>
          <w:sz w:val="24"/>
        </w:rPr>
      </w:pPr>
      <w:r>
        <w:rPr>
          <w:rFonts w:eastAsia="楷体_GB2312"/>
          <w:sz w:val="24"/>
        </w:rPr>
        <w:t>本期每百元面额兑付本金额计算时采用去尾法取位到人民币分位，不做四舍五入进位，由此产生的本金还款金额余额部分转存下一期（“转存下期本金还款金额”），与下一期本金还款金额合并后，计算该下一期本金还款金额。以后各期的本金还款金额计算依此类推。</w:t>
      </w:r>
    </w:p>
    <w:p w14:paraId="2BAAE86D">
      <w:pPr>
        <w:spacing w:line="380" w:lineRule="exact"/>
        <w:rPr>
          <w:rFonts w:eastAsia="楷体_GB2312"/>
          <w:sz w:val="24"/>
        </w:rPr>
      </w:pPr>
    </w:p>
    <w:tbl>
      <w:tblPr>
        <w:tblStyle w:val="27"/>
        <w:tblW w:w="8306" w:type="dxa"/>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207"/>
        <w:gridCol w:w="960"/>
        <w:gridCol w:w="1110"/>
        <w:gridCol w:w="1845"/>
      </w:tblGrid>
      <w:tr w14:paraId="0D3F52C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Borders>
              <w:bottom w:val="single" w:color="008000" w:sz="6" w:space="0"/>
            </w:tcBorders>
          </w:tcPr>
          <w:p w14:paraId="56A37556">
            <w:pPr>
              <w:spacing w:line="380" w:lineRule="exact"/>
              <w:rPr>
                <w:rFonts w:eastAsia="楷体_GB2312"/>
                <w:sz w:val="24"/>
              </w:rPr>
            </w:pPr>
          </w:p>
        </w:tc>
        <w:tc>
          <w:tcPr>
            <w:tcW w:w="2207" w:type="dxa"/>
            <w:tcBorders>
              <w:bottom w:val="single" w:color="008000" w:sz="6" w:space="0"/>
            </w:tcBorders>
          </w:tcPr>
          <w:p w14:paraId="57D958FB">
            <w:pPr>
              <w:spacing w:line="380" w:lineRule="exact"/>
              <w:rPr>
                <w:rFonts w:eastAsia="楷体_GB2312"/>
                <w:sz w:val="24"/>
              </w:rPr>
            </w:pPr>
            <w:r>
              <w:rPr>
                <w:rFonts w:eastAsia="楷体_GB2312"/>
                <w:sz w:val="24"/>
              </w:rPr>
              <w:t>优先A级资产支持证券</w:t>
            </w:r>
          </w:p>
        </w:tc>
        <w:tc>
          <w:tcPr>
            <w:tcW w:w="2070" w:type="dxa"/>
            <w:gridSpan w:val="2"/>
            <w:tcBorders>
              <w:bottom w:val="single" w:color="008000" w:sz="6" w:space="0"/>
            </w:tcBorders>
          </w:tcPr>
          <w:p w14:paraId="48376EDF">
            <w:pPr>
              <w:spacing w:line="380" w:lineRule="exact"/>
              <w:rPr>
                <w:rFonts w:eastAsia="楷体_GB2312"/>
                <w:sz w:val="24"/>
              </w:rPr>
            </w:pPr>
            <w:r>
              <w:rPr>
                <w:rFonts w:eastAsia="楷体_GB2312"/>
                <w:sz w:val="24"/>
              </w:rPr>
              <w:t>优先B级资产支持证券</w:t>
            </w:r>
          </w:p>
        </w:tc>
        <w:tc>
          <w:tcPr>
            <w:tcW w:w="1845" w:type="dxa"/>
            <w:tcBorders>
              <w:bottom w:val="single" w:color="008000" w:sz="6" w:space="0"/>
            </w:tcBorders>
          </w:tcPr>
          <w:p w14:paraId="11A54B1D">
            <w:pPr>
              <w:spacing w:line="380" w:lineRule="exact"/>
              <w:rPr>
                <w:rFonts w:eastAsia="楷体_GB2312"/>
                <w:sz w:val="24"/>
              </w:rPr>
            </w:pPr>
            <w:r>
              <w:rPr>
                <w:rFonts w:eastAsia="楷体_GB2312"/>
                <w:sz w:val="24"/>
              </w:rPr>
              <w:t>次级资产支持证券</w:t>
            </w:r>
          </w:p>
        </w:tc>
      </w:tr>
      <w:tr w14:paraId="40F0DB9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51587650">
            <w:pPr>
              <w:spacing w:line="380" w:lineRule="exact"/>
              <w:rPr>
                <w:rFonts w:eastAsia="楷体_GB2312"/>
                <w:sz w:val="24"/>
              </w:rPr>
            </w:pPr>
            <w:r>
              <w:rPr>
                <w:rFonts w:eastAsia="楷体_GB2312"/>
                <w:sz w:val="24"/>
              </w:rPr>
              <w:t>本期可分配本金总额</w:t>
            </w:r>
            <w:r>
              <w:rPr>
                <w:rFonts w:eastAsia="楷体_GB2312"/>
                <w:sz w:val="24"/>
                <w:vertAlign w:val="superscript"/>
              </w:rPr>
              <w:t>1</w:t>
            </w:r>
          </w:p>
        </w:tc>
        <w:tc>
          <w:tcPr>
            <w:tcW w:w="2207" w:type="dxa"/>
          </w:tcPr>
          <w:p w14:paraId="49BFADDC">
            <w:pPr>
              <w:spacing w:line="380" w:lineRule="exact"/>
              <w:rPr>
                <w:rFonts w:eastAsia="楷体_GB2312"/>
                <w:sz w:val="24"/>
              </w:rPr>
            </w:pPr>
          </w:p>
        </w:tc>
        <w:tc>
          <w:tcPr>
            <w:tcW w:w="960" w:type="dxa"/>
          </w:tcPr>
          <w:p w14:paraId="597D9FBF">
            <w:pPr>
              <w:spacing w:line="380" w:lineRule="exact"/>
              <w:rPr>
                <w:rFonts w:eastAsia="楷体_GB2312"/>
                <w:sz w:val="24"/>
              </w:rPr>
            </w:pPr>
          </w:p>
        </w:tc>
        <w:tc>
          <w:tcPr>
            <w:tcW w:w="1110" w:type="dxa"/>
          </w:tcPr>
          <w:p w14:paraId="43663F86">
            <w:pPr>
              <w:spacing w:line="380" w:lineRule="exact"/>
              <w:rPr>
                <w:rFonts w:eastAsia="楷体_GB2312"/>
                <w:sz w:val="24"/>
              </w:rPr>
            </w:pPr>
          </w:p>
        </w:tc>
        <w:tc>
          <w:tcPr>
            <w:tcW w:w="1845" w:type="dxa"/>
          </w:tcPr>
          <w:p w14:paraId="449FC90D">
            <w:pPr>
              <w:spacing w:line="380" w:lineRule="exact"/>
              <w:rPr>
                <w:rFonts w:eastAsia="楷体_GB2312"/>
                <w:sz w:val="24"/>
              </w:rPr>
            </w:pPr>
          </w:p>
        </w:tc>
      </w:tr>
      <w:tr w14:paraId="3F50105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732581A7">
            <w:pPr>
              <w:spacing w:line="380" w:lineRule="exact"/>
              <w:rPr>
                <w:rFonts w:eastAsia="楷体_GB2312"/>
                <w:sz w:val="24"/>
              </w:rPr>
            </w:pPr>
            <w:r>
              <w:rPr>
                <w:rFonts w:eastAsia="楷体_GB2312"/>
                <w:sz w:val="24"/>
              </w:rPr>
              <w:t>本期每百元面额兑付本金额</w:t>
            </w:r>
            <w:r>
              <w:rPr>
                <w:rFonts w:eastAsia="楷体_GB2312"/>
                <w:sz w:val="24"/>
                <w:vertAlign w:val="superscript"/>
              </w:rPr>
              <w:t>2</w:t>
            </w:r>
            <w:r>
              <w:rPr>
                <w:rFonts w:eastAsia="楷体_GB2312"/>
                <w:sz w:val="24"/>
              </w:rPr>
              <w:t>（单位：元）</w:t>
            </w:r>
          </w:p>
        </w:tc>
        <w:tc>
          <w:tcPr>
            <w:tcW w:w="2207" w:type="dxa"/>
          </w:tcPr>
          <w:p w14:paraId="00EBD44A">
            <w:pPr>
              <w:spacing w:line="380" w:lineRule="exact"/>
              <w:rPr>
                <w:rFonts w:eastAsia="楷体_GB2312"/>
                <w:sz w:val="24"/>
              </w:rPr>
            </w:pPr>
          </w:p>
        </w:tc>
        <w:tc>
          <w:tcPr>
            <w:tcW w:w="960" w:type="dxa"/>
          </w:tcPr>
          <w:p w14:paraId="723BCEA8">
            <w:pPr>
              <w:spacing w:line="380" w:lineRule="exact"/>
              <w:rPr>
                <w:rFonts w:eastAsia="楷体_GB2312"/>
                <w:sz w:val="24"/>
              </w:rPr>
            </w:pPr>
          </w:p>
        </w:tc>
        <w:tc>
          <w:tcPr>
            <w:tcW w:w="1110" w:type="dxa"/>
          </w:tcPr>
          <w:p w14:paraId="7B73F093">
            <w:pPr>
              <w:spacing w:line="380" w:lineRule="exact"/>
              <w:rPr>
                <w:rFonts w:eastAsia="楷体_GB2312"/>
                <w:sz w:val="24"/>
              </w:rPr>
            </w:pPr>
          </w:p>
        </w:tc>
        <w:tc>
          <w:tcPr>
            <w:tcW w:w="1845" w:type="dxa"/>
          </w:tcPr>
          <w:p w14:paraId="29E13236">
            <w:pPr>
              <w:spacing w:line="380" w:lineRule="exact"/>
              <w:rPr>
                <w:rFonts w:eastAsia="楷体_GB2312"/>
                <w:sz w:val="24"/>
              </w:rPr>
            </w:pPr>
          </w:p>
        </w:tc>
      </w:tr>
      <w:tr w14:paraId="4C0B000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7D90BC50">
            <w:pPr>
              <w:spacing w:line="380" w:lineRule="exact"/>
              <w:rPr>
                <w:rFonts w:eastAsia="楷体_GB2312"/>
                <w:sz w:val="24"/>
              </w:rPr>
            </w:pPr>
            <w:r>
              <w:rPr>
                <w:rFonts w:eastAsia="楷体_GB2312"/>
                <w:sz w:val="24"/>
              </w:rPr>
              <w:t>本期兑付本金总额</w:t>
            </w:r>
            <w:r>
              <w:rPr>
                <w:rFonts w:eastAsia="楷体_GB2312"/>
                <w:sz w:val="24"/>
                <w:vertAlign w:val="superscript"/>
              </w:rPr>
              <w:t>3</w:t>
            </w:r>
            <w:r>
              <w:rPr>
                <w:rFonts w:eastAsia="楷体_GB2312"/>
                <w:sz w:val="24"/>
              </w:rPr>
              <w:t>（单位：元）</w:t>
            </w:r>
          </w:p>
        </w:tc>
        <w:tc>
          <w:tcPr>
            <w:tcW w:w="2207" w:type="dxa"/>
          </w:tcPr>
          <w:p w14:paraId="349544EC">
            <w:pPr>
              <w:spacing w:line="380" w:lineRule="exact"/>
              <w:rPr>
                <w:rFonts w:eastAsia="楷体_GB2312"/>
                <w:sz w:val="24"/>
              </w:rPr>
            </w:pPr>
          </w:p>
        </w:tc>
        <w:tc>
          <w:tcPr>
            <w:tcW w:w="960" w:type="dxa"/>
          </w:tcPr>
          <w:p w14:paraId="5D81CEF3">
            <w:pPr>
              <w:spacing w:line="380" w:lineRule="exact"/>
              <w:rPr>
                <w:rFonts w:eastAsia="楷体_GB2312"/>
                <w:sz w:val="24"/>
              </w:rPr>
            </w:pPr>
          </w:p>
        </w:tc>
        <w:tc>
          <w:tcPr>
            <w:tcW w:w="1110" w:type="dxa"/>
          </w:tcPr>
          <w:p w14:paraId="57ED297A">
            <w:pPr>
              <w:spacing w:line="380" w:lineRule="exact"/>
              <w:rPr>
                <w:rFonts w:eastAsia="楷体_GB2312"/>
                <w:sz w:val="24"/>
              </w:rPr>
            </w:pPr>
          </w:p>
        </w:tc>
        <w:tc>
          <w:tcPr>
            <w:tcW w:w="1845" w:type="dxa"/>
          </w:tcPr>
          <w:p w14:paraId="405D080F">
            <w:pPr>
              <w:spacing w:line="380" w:lineRule="exact"/>
              <w:rPr>
                <w:rFonts w:eastAsia="楷体_GB2312"/>
                <w:sz w:val="24"/>
              </w:rPr>
            </w:pPr>
          </w:p>
        </w:tc>
      </w:tr>
      <w:tr w14:paraId="010385E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Pr>
          <w:p w14:paraId="5D0C67C0">
            <w:pPr>
              <w:spacing w:line="380" w:lineRule="exact"/>
              <w:rPr>
                <w:rFonts w:eastAsia="楷体_GB2312"/>
                <w:sz w:val="24"/>
              </w:rPr>
            </w:pPr>
            <w:r>
              <w:rPr>
                <w:rFonts w:eastAsia="楷体_GB2312"/>
                <w:sz w:val="24"/>
              </w:rPr>
              <w:t>转存下期每百元面额本金还款额</w:t>
            </w:r>
            <w:r>
              <w:rPr>
                <w:rFonts w:eastAsia="楷体_GB2312"/>
                <w:sz w:val="24"/>
                <w:vertAlign w:val="superscript"/>
              </w:rPr>
              <w:t>4</w:t>
            </w:r>
            <w:r>
              <w:rPr>
                <w:rFonts w:eastAsia="楷体_GB2312"/>
                <w:sz w:val="24"/>
              </w:rPr>
              <w:t>（单位：元）</w:t>
            </w:r>
          </w:p>
        </w:tc>
        <w:tc>
          <w:tcPr>
            <w:tcW w:w="2207" w:type="dxa"/>
          </w:tcPr>
          <w:p w14:paraId="3FF529D6">
            <w:pPr>
              <w:spacing w:line="380" w:lineRule="exact"/>
              <w:rPr>
                <w:rFonts w:eastAsia="楷体_GB2312"/>
                <w:sz w:val="24"/>
              </w:rPr>
            </w:pPr>
          </w:p>
        </w:tc>
        <w:tc>
          <w:tcPr>
            <w:tcW w:w="960" w:type="dxa"/>
          </w:tcPr>
          <w:p w14:paraId="3B52BE99">
            <w:pPr>
              <w:spacing w:line="380" w:lineRule="exact"/>
              <w:rPr>
                <w:rFonts w:eastAsia="楷体_GB2312"/>
                <w:sz w:val="24"/>
              </w:rPr>
            </w:pPr>
          </w:p>
        </w:tc>
        <w:tc>
          <w:tcPr>
            <w:tcW w:w="1110" w:type="dxa"/>
          </w:tcPr>
          <w:p w14:paraId="7066D4D6">
            <w:pPr>
              <w:spacing w:line="380" w:lineRule="exact"/>
              <w:rPr>
                <w:rFonts w:eastAsia="楷体_GB2312"/>
                <w:sz w:val="24"/>
              </w:rPr>
            </w:pPr>
          </w:p>
        </w:tc>
        <w:tc>
          <w:tcPr>
            <w:tcW w:w="1845" w:type="dxa"/>
          </w:tcPr>
          <w:p w14:paraId="34000D1B">
            <w:pPr>
              <w:spacing w:line="380" w:lineRule="exact"/>
              <w:rPr>
                <w:rFonts w:eastAsia="楷体_GB2312"/>
                <w:sz w:val="24"/>
              </w:rPr>
            </w:pPr>
          </w:p>
        </w:tc>
      </w:tr>
      <w:tr w14:paraId="40C742E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184" w:type="dxa"/>
            <w:tcBorders>
              <w:top w:val="single" w:color="008000" w:sz="6" w:space="0"/>
            </w:tcBorders>
          </w:tcPr>
          <w:p w14:paraId="7F3582A7">
            <w:pPr>
              <w:spacing w:line="380" w:lineRule="exact"/>
              <w:rPr>
                <w:rFonts w:eastAsia="楷体_GB2312"/>
                <w:sz w:val="24"/>
              </w:rPr>
            </w:pPr>
            <w:r>
              <w:rPr>
                <w:rFonts w:eastAsia="楷体_GB2312"/>
                <w:sz w:val="24"/>
              </w:rPr>
              <w:t>转存下期本金还款金额</w:t>
            </w:r>
            <w:r>
              <w:rPr>
                <w:rFonts w:eastAsia="楷体_GB2312"/>
                <w:sz w:val="24"/>
                <w:vertAlign w:val="superscript"/>
              </w:rPr>
              <w:t>5</w:t>
            </w:r>
            <w:r>
              <w:rPr>
                <w:rFonts w:eastAsia="楷体_GB2312"/>
                <w:sz w:val="24"/>
              </w:rPr>
              <w:t>（单位：元）</w:t>
            </w:r>
          </w:p>
        </w:tc>
        <w:tc>
          <w:tcPr>
            <w:tcW w:w="2207" w:type="dxa"/>
            <w:tcBorders>
              <w:top w:val="single" w:color="008000" w:sz="6" w:space="0"/>
            </w:tcBorders>
          </w:tcPr>
          <w:p w14:paraId="42E22B4B">
            <w:pPr>
              <w:spacing w:line="380" w:lineRule="exact"/>
              <w:rPr>
                <w:rFonts w:eastAsia="楷体_GB2312"/>
                <w:sz w:val="24"/>
              </w:rPr>
            </w:pPr>
          </w:p>
        </w:tc>
        <w:tc>
          <w:tcPr>
            <w:tcW w:w="960" w:type="dxa"/>
            <w:tcBorders>
              <w:top w:val="single" w:color="008000" w:sz="6" w:space="0"/>
            </w:tcBorders>
          </w:tcPr>
          <w:p w14:paraId="79A3AD8A">
            <w:pPr>
              <w:spacing w:line="380" w:lineRule="exact"/>
              <w:rPr>
                <w:rFonts w:eastAsia="楷体_GB2312"/>
                <w:sz w:val="24"/>
              </w:rPr>
            </w:pPr>
          </w:p>
        </w:tc>
        <w:tc>
          <w:tcPr>
            <w:tcW w:w="1110" w:type="dxa"/>
            <w:tcBorders>
              <w:top w:val="single" w:color="008000" w:sz="6" w:space="0"/>
            </w:tcBorders>
          </w:tcPr>
          <w:p w14:paraId="17458A69">
            <w:pPr>
              <w:spacing w:line="380" w:lineRule="exact"/>
              <w:rPr>
                <w:rFonts w:eastAsia="楷体_GB2312"/>
                <w:sz w:val="24"/>
              </w:rPr>
            </w:pPr>
          </w:p>
        </w:tc>
        <w:tc>
          <w:tcPr>
            <w:tcW w:w="1845" w:type="dxa"/>
            <w:tcBorders>
              <w:top w:val="single" w:color="008000" w:sz="6" w:space="0"/>
            </w:tcBorders>
          </w:tcPr>
          <w:p w14:paraId="61DB9A9C">
            <w:pPr>
              <w:spacing w:line="380" w:lineRule="exact"/>
              <w:rPr>
                <w:rFonts w:eastAsia="楷体_GB2312"/>
                <w:sz w:val="24"/>
              </w:rPr>
            </w:pPr>
          </w:p>
        </w:tc>
      </w:tr>
    </w:tbl>
    <w:p w14:paraId="375EE898">
      <w:pPr>
        <w:spacing w:before="156" w:beforeLines="50" w:line="380" w:lineRule="exact"/>
        <w:ind w:left="617" w:hanging="616" w:hangingChars="257"/>
        <w:rPr>
          <w:rFonts w:eastAsia="楷体_GB2312"/>
          <w:sz w:val="24"/>
        </w:rPr>
      </w:pPr>
    </w:p>
    <w:p w14:paraId="4F0DE409">
      <w:pPr>
        <w:spacing w:before="156" w:beforeLines="50" w:line="380" w:lineRule="exact"/>
        <w:ind w:left="617" w:hanging="616" w:hangingChars="257"/>
        <w:rPr>
          <w:rFonts w:eastAsia="楷体_GB2312"/>
          <w:sz w:val="24"/>
        </w:rPr>
      </w:pPr>
      <w:r>
        <w:rPr>
          <w:rFonts w:eastAsia="楷体_GB2312"/>
          <w:sz w:val="24"/>
        </w:rPr>
        <w:t>说明：</w:t>
      </w:r>
    </w:p>
    <w:p w14:paraId="62F21EC9">
      <w:pPr>
        <w:spacing w:before="156" w:beforeLines="50" w:line="380" w:lineRule="exact"/>
        <w:ind w:left="617" w:hanging="616" w:hangingChars="257"/>
        <w:rPr>
          <w:rFonts w:eastAsia="楷体_GB2312"/>
          <w:sz w:val="24"/>
        </w:rPr>
      </w:pPr>
    </w:p>
    <w:p w14:paraId="7D93E5F9">
      <w:pPr>
        <w:numPr>
          <w:ilvl w:val="0"/>
          <w:numId w:val="34"/>
        </w:numPr>
        <w:spacing w:before="156" w:beforeLines="50" w:line="380" w:lineRule="exact"/>
        <w:rPr>
          <w:rFonts w:eastAsia="楷体_GB2312"/>
          <w:sz w:val="24"/>
        </w:rPr>
      </w:pPr>
      <w:r>
        <w:rPr>
          <w:rFonts w:eastAsia="楷体_GB2312"/>
          <w:sz w:val="24"/>
        </w:rPr>
        <w:t>本期可分配本金总额：系指本期回收款中用于本金分配的资金（“本期可分配本金金额”）与上期转存金额之和。</w:t>
      </w:r>
    </w:p>
    <w:p w14:paraId="2DEA834F">
      <w:pPr>
        <w:spacing w:before="156" w:beforeLines="50" w:line="380" w:lineRule="exact"/>
        <w:rPr>
          <w:rFonts w:eastAsia="楷体_GB2312"/>
          <w:sz w:val="24"/>
        </w:rPr>
      </w:pPr>
    </w:p>
    <w:p w14:paraId="18BC3F4D">
      <w:pPr>
        <w:numPr>
          <w:ilvl w:val="0"/>
          <w:numId w:val="34"/>
        </w:numPr>
        <w:spacing w:before="156" w:beforeLines="50" w:line="380" w:lineRule="exact"/>
        <w:rPr>
          <w:rFonts w:eastAsia="楷体_GB2312"/>
          <w:sz w:val="24"/>
        </w:rPr>
      </w:pPr>
      <w:r>
        <w:rPr>
          <w:rFonts w:eastAsia="楷体_GB2312"/>
          <w:sz w:val="24"/>
        </w:rPr>
        <w:t>本期每百元面额兑付本金额的计算：</w:t>
      </w:r>
    </w:p>
    <w:p w14:paraId="08D51909">
      <w:pPr>
        <w:numPr>
          <w:ilvl w:val="1"/>
          <w:numId w:val="35"/>
        </w:numPr>
        <w:spacing w:before="156" w:beforeLines="50" w:line="380" w:lineRule="exact"/>
        <w:rPr>
          <w:rFonts w:eastAsia="楷体_GB2312"/>
          <w:sz w:val="24"/>
        </w:rPr>
      </w:pPr>
      <w:r>
        <w:rPr>
          <w:rFonts w:eastAsia="楷体_GB2312"/>
          <w:sz w:val="24"/>
        </w:rPr>
        <w:t>当某一期的本期可分配本金总额不足以偿付完毕当期级别最高的资产支持证券本金余额时，当期级别最高的资产支持证券的“本期每百元面额兑付本金额”=</w:t>
      </w:r>
      <w:bookmarkStart w:id="774" w:name="OLE_LINK2"/>
      <w:r>
        <w:rPr>
          <w:rFonts w:eastAsia="楷体_GB2312"/>
          <w:sz w:val="24"/>
        </w:rPr>
        <w:t>本期可分配本金总额/该级资产支持证券份数，</w:t>
      </w:r>
      <w:bookmarkEnd w:id="774"/>
      <w:r>
        <w:rPr>
          <w:rFonts w:eastAsia="楷体_GB2312"/>
          <w:sz w:val="24"/>
        </w:rPr>
        <w:t>所得数值取位到人民币分位，不做四舍五入进位；其余级别资产支持证券的“本期每百元面额兑付本金额”为零。</w:t>
      </w:r>
    </w:p>
    <w:p w14:paraId="722E1A40">
      <w:pPr>
        <w:spacing w:before="156" w:beforeLines="50" w:line="380" w:lineRule="exact"/>
        <w:rPr>
          <w:rFonts w:eastAsia="楷体_GB2312"/>
          <w:sz w:val="24"/>
        </w:rPr>
      </w:pPr>
    </w:p>
    <w:p w14:paraId="6DB1FAFD">
      <w:pPr>
        <w:numPr>
          <w:ilvl w:val="1"/>
          <w:numId w:val="35"/>
        </w:numPr>
        <w:spacing w:before="50" w:line="380" w:lineRule="exact"/>
        <w:rPr>
          <w:rFonts w:eastAsia="楷体_GB2312"/>
          <w:sz w:val="24"/>
        </w:rPr>
      </w:pPr>
      <w:r>
        <w:rPr>
          <w:rFonts w:eastAsia="楷体_GB2312"/>
          <w:sz w:val="24"/>
        </w:rPr>
        <w:t>当某一期本期可分配本金总额不仅能偿付完毕当期高级别的某一级或某连续几级资产支持证券本金余额、且仍有资金剩余用于偿付下一级别的资产支持证券（以下简称“最后受偿的级别的资产支持证券”）的本金时，则被偿付完毕的级别较高的资产支持证券的“本期每百元面额兑付本金额”=本期期初该级资产支持证券每百元面额的本金余额；最后受偿的级别的资产支持证券的“本期每百元面额兑付本金额”=（本期可分配本金总额-本期用于偿付较高级别资产支持证券的本金金额）/当期最后受偿的级别的资产支持证券的份数，所得数值取位到人民币分位，不做四舍五入进位；未涉及的其余级别的资产支持证券的“本期每百元面额兑付本金额”为零。</w:t>
      </w:r>
    </w:p>
    <w:p w14:paraId="5FF6B1EC">
      <w:pPr>
        <w:spacing w:before="50" w:line="380" w:lineRule="exact"/>
        <w:ind w:left="420"/>
        <w:rPr>
          <w:rFonts w:eastAsia="楷体_GB2312"/>
          <w:sz w:val="24"/>
        </w:rPr>
      </w:pPr>
    </w:p>
    <w:p w14:paraId="161487E0">
      <w:pPr>
        <w:numPr>
          <w:ilvl w:val="0"/>
          <w:numId w:val="34"/>
        </w:numPr>
        <w:spacing w:before="156" w:beforeLines="50" w:line="380" w:lineRule="exact"/>
        <w:rPr>
          <w:rFonts w:eastAsia="楷体_GB2312"/>
          <w:sz w:val="24"/>
        </w:rPr>
      </w:pPr>
      <w:r>
        <w:rPr>
          <w:rFonts w:eastAsia="楷体_GB2312"/>
          <w:sz w:val="24"/>
        </w:rPr>
        <w:t>某一级别的资产支持证券的“本期兑付本金总额”=该级别资产支持证券的“本期每百元面额兑付本金额”×该级别资产支持证券的份数。</w:t>
      </w:r>
    </w:p>
    <w:p w14:paraId="2CAD4763">
      <w:pPr>
        <w:spacing w:before="156" w:beforeLines="50" w:line="380" w:lineRule="exact"/>
        <w:rPr>
          <w:rFonts w:eastAsia="楷体_GB2312"/>
          <w:sz w:val="24"/>
        </w:rPr>
      </w:pPr>
    </w:p>
    <w:p w14:paraId="0E985E7C">
      <w:pPr>
        <w:numPr>
          <w:ilvl w:val="0"/>
          <w:numId w:val="34"/>
        </w:numPr>
        <w:spacing w:before="156" w:beforeLines="50" w:line="380" w:lineRule="exact"/>
        <w:rPr>
          <w:rFonts w:eastAsia="楷体_GB2312"/>
          <w:sz w:val="24"/>
        </w:rPr>
      </w:pPr>
      <w:r>
        <w:rPr>
          <w:rFonts w:eastAsia="楷体_GB2312"/>
          <w:sz w:val="24"/>
        </w:rPr>
        <w:t>转存下期每百元面额本金还款额的计算：</w:t>
      </w:r>
    </w:p>
    <w:p w14:paraId="066D7366">
      <w:pPr>
        <w:spacing w:before="156" w:beforeLines="50" w:line="380" w:lineRule="exact"/>
        <w:rPr>
          <w:rFonts w:eastAsia="楷体_GB2312"/>
          <w:sz w:val="24"/>
        </w:rPr>
      </w:pPr>
    </w:p>
    <w:p w14:paraId="2FF0B3F2">
      <w:pPr>
        <w:numPr>
          <w:ilvl w:val="0"/>
          <w:numId w:val="36"/>
        </w:numPr>
        <w:spacing w:before="156" w:beforeLines="50" w:line="380" w:lineRule="exact"/>
        <w:rPr>
          <w:rFonts w:eastAsia="楷体_GB2312"/>
          <w:sz w:val="24"/>
        </w:rPr>
      </w:pPr>
      <w:r>
        <w:rPr>
          <w:rFonts w:eastAsia="楷体_GB2312"/>
          <w:sz w:val="24"/>
        </w:rPr>
        <w:t>当某一期的本期可分配本金总额不足以偿付完毕当期级别最高的资产支持证券本金余额时，该级别的资产支持证券的“转存下期每百元面额本金还款额”=（本期可分配本金总额-该级资产支持证券的“本期兑付本金总额”）/该级资产支持证券份数，所得数值保留到小数点后10位，做四舍五入处理；其余级别的资产支持证券的“转存下期每百元面额本金还款额”为零。</w:t>
      </w:r>
    </w:p>
    <w:p w14:paraId="403424FA">
      <w:pPr>
        <w:spacing w:before="156" w:beforeLines="50" w:line="380" w:lineRule="exact"/>
        <w:rPr>
          <w:rFonts w:eastAsia="楷体_GB2312"/>
          <w:sz w:val="24"/>
        </w:rPr>
      </w:pPr>
    </w:p>
    <w:p w14:paraId="2B7B7166">
      <w:pPr>
        <w:numPr>
          <w:ilvl w:val="0"/>
          <w:numId w:val="36"/>
        </w:numPr>
        <w:spacing w:before="50" w:line="380" w:lineRule="exact"/>
        <w:rPr>
          <w:rFonts w:eastAsia="楷体_GB2312"/>
          <w:sz w:val="24"/>
        </w:rPr>
      </w:pPr>
      <w:r>
        <w:rPr>
          <w:rFonts w:eastAsia="楷体_GB2312"/>
          <w:sz w:val="24"/>
        </w:rPr>
        <w:t>当某一期的本期可分配本金总额不仅能偿付完毕当期高级别的某一级或某连续几级资产支持证券本金余额、且仍有资金剩余用于偿付下一优先级别的资产支持证券（以下简称“最后受偿的级别的资产支持证券”）的本金时，则被偿付完毕的高级别的资产支持证券的“转存下期每百元面额本金还款额”为零；最后受偿的级别的资产支持证券的“转存下期每百元面额本金还款额”=（本期可分配本金总额-本期用于偿付较高级别资产支持证券的本金金额-该最后受偿的级别的资产支持证券的“本期兑付本金总额”）/当期该级资产支持证券份数，所得数值保留到小数点后10位，做四舍五入处理；其余未涉及的资产支持证券的“转存下期每百元面额本金还款额”为零。</w:t>
      </w:r>
    </w:p>
    <w:p w14:paraId="39BA2315">
      <w:pPr>
        <w:spacing w:before="50" w:line="380" w:lineRule="exact"/>
        <w:rPr>
          <w:rFonts w:eastAsia="楷体_GB2312"/>
          <w:sz w:val="24"/>
        </w:rPr>
      </w:pPr>
    </w:p>
    <w:p w14:paraId="34E0ABFB">
      <w:pPr>
        <w:numPr>
          <w:ilvl w:val="0"/>
          <w:numId w:val="34"/>
        </w:numPr>
        <w:spacing w:before="156" w:beforeLines="50" w:line="380" w:lineRule="exact"/>
        <w:rPr>
          <w:rFonts w:eastAsia="楷体_GB2312"/>
          <w:b/>
          <w:sz w:val="24"/>
        </w:rPr>
      </w:pPr>
      <w:r>
        <w:rPr>
          <w:rFonts w:eastAsia="楷体_GB2312"/>
          <w:sz w:val="24"/>
        </w:rPr>
        <w:t>转存下期本金还款金额：</w:t>
      </w:r>
    </w:p>
    <w:p w14:paraId="2A327D5F">
      <w:pPr>
        <w:spacing w:before="156" w:beforeLines="50" w:line="380" w:lineRule="exact"/>
        <w:rPr>
          <w:rFonts w:eastAsia="楷体_GB2312"/>
          <w:b/>
          <w:sz w:val="24"/>
        </w:rPr>
      </w:pPr>
      <w:r>
        <w:rPr>
          <w:rFonts w:eastAsia="楷体_GB2312"/>
          <w:sz w:val="24"/>
        </w:rPr>
        <w:t>本期的“转存下期本金还款金额”=本期可分配本金总额-∑各级资产支持证券的“本期兑付本金总额”，所取得数值取数到人民币分位（人民币）。</w:t>
      </w:r>
    </w:p>
    <w:p w14:paraId="6E008066">
      <w:pPr>
        <w:spacing w:before="156" w:beforeLines="50" w:after="156" w:afterLines="50" w:line="360" w:lineRule="auto"/>
        <w:ind w:right="480"/>
        <w:outlineLvl w:val="0"/>
        <w:rPr>
          <w:rFonts w:eastAsia="楷体_GB2312"/>
          <w:b/>
          <w:sz w:val="24"/>
        </w:rPr>
      </w:pPr>
      <w:r>
        <w:rPr>
          <w:rFonts w:eastAsia="楷体_GB2312"/>
          <w:sz w:val="24"/>
        </w:rPr>
        <w:br w:type="page"/>
      </w:r>
      <w:bookmarkStart w:id="775" w:name="_Toc402883985"/>
      <w:bookmarkStart w:id="776" w:name="_Toc221382881"/>
      <w:bookmarkStart w:id="777" w:name="_Toc51277244"/>
      <w:bookmarkStart w:id="778" w:name="_Toc27061"/>
      <w:bookmarkStart w:id="779" w:name="_Toc416687733"/>
      <w:bookmarkStart w:id="780" w:name="_Toc373951577"/>
      <w:r>
        <w:rPr>
          <w:rFonts w:eastAsia="楷体_GB2312"/>
          <w:b/>
          <w:sz w:val="24"/>
        </w:rPr>
        <w:t>附件六：清仓回购通知格式</w:t>
      </w:r>
      <w:bookmarkEnd w:id="775"/>
      <w:bookmarkEnd w:id="776"/>
      <w:bookmarkEnd w:id="777"/>
      <w:bookmarkEnd w:id="778"/>
      <w:bookmarkEnd w:id="779"/>
    </w:p>
    <w:p w14:paraId="244AAF8F">
      <w:pPr>
        <w:spacing w:before="156" w:beforeLines="50" w:after="156" w:afterLines="50" w:line="360" w:lineRule="auto"/>
        <w:jc w:val="center"/>
        <w:rPr>
          <w:rFonts w:eastAsia="楷体_GB2312"/>
          <w:sz w:val="28"/>
          <w:szCs w:val="28"/>
        </w:rPr>
      </w:pPr>
      <w:r>
        <w:rPr>
          <w:rFonts w:eastAsia="楷体_GB2312"/>
          <w:b/>
          <w:sz w:val="28"/>
          <w:szCs w:val="28"/>
        </w:rPr>
        <w:t>清仓回购通知书（格式）</w:t>
      </w:r>
    </w:p>
    <w:p w14:paraId="603DC701">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【受托机构全称】（“受托人”）</w:t>
      </w:r>
    </w:p>
    <w:p w14:paraId="3D086B32">
      <w:pPr>
        <w:spacing w:before="156" w:beforeLines="50" w:after="156" w:afterLines="50" w:line="360" w:lineRule="auto"/>
        <w:rPr>
          <w:rFonts w:eastAsia="楷体_GB2312"/>
          <w:sz w:val="24"/>
        </w:rPr>
      </w:pPr>
      <w:r>
        <w:rPr>
          <w:rFonts w:eastAsia="楷体_GB2312"/>
          <w:sz w:val="24"/>
        </w:rPr>
        <w:t>日期：_______________</w:t>
      </w:r>
    </w:p>
    <w:p w14:paraId="07054458">
      <w:pPr>
        <w:spacing w:before="156" w:beforeLines="50" w:after="156" w:afterLines="50" w:line="360" w:lineRule="auto"/>
        <w:ind w:left="-62" w:firstLine="480" w:firstLineChars="200"/>
        <w:rPr>
          <w:rFonts w:eastAsia="楷体_GB2312"/>
          <w:sz w:val="24"/>
        </w:rPr>
      </w:pPr>
      <w:r>
        <w:rPr>
          <w:rFonts w:eastAsia="楷体_GB2312"/>
          <w:sz w:val="24"/>
        </w:rPr>
        <w:t>根据【发起机构全称】与【受托机构全称】签署的编号为【信托合同编号】的《</w:t>
      </w:r>
      <w:r>
        <w:rPr>
          <w:rFonts w:eastAsia="楷体_GB2312"/>
          <w:color w:val="000000"/>
          <w:sz w:val="24"/>
        </w:rPr>
        <w:t>【信托名称】</w:t>
      </w:r>
      <w:r>
        <w:rPr>
          <w:rFonts w:eastAsia="楷体_GB2312"/>
          <w:sz w:val="24"/>
        </w:rPr>
        <w:t>之信托合同》（“《信托合同》”）的约定，本行（作为“委托人”）向贵公司（作为“受托人”）通知如下：</w:t>
      </w:r>
    </w:p>
    <w:p w14:paraId="701B9C03">
      <w:pPr>
        <w:numPr>
          <w:ilvl w:val="0"/>
          <w:numId w:val="37"/>
        </w:numPr>
        <w:spacing w:before="156" w:beforeLines="50" w:after="156" w:afterLines="50" w:line="360" w:lineRule="auto"/>
        <w:rPr>
          <w:rFonts w:eastAsia="楷体_GB2312"/>
          <w:sz w:val="24"/>
        </w:rPr>
      </w:pPr>
      <w:r>
        <w:rPr>
          <w:rFonts w:eastAsia="楷体_GB2312"/>
          <w:sz w:val="24"/>
        </w:rPr>
        <w:t>本行拟按照“《信托合同》”第</w:t>
      </w:r>
      <w:r>
        <w:rPr>
          <w:rFonts w:eastAsia="楷体_GB2312"/>
        </w:rPr>
        <w:fldChar w:fldCharType="begin"/>
      </w:r>
      <w:r>
        <w:rPr>
          <w:rFonts w:eastAsia="楷体_GB2312"/>
        </w:rPr>
        <w:instrText xml:space="preserve"> REF _Ref482277718 \r \h  \* MERGEFORMAT </w:instrText>
      </w:r>
      <w:r>
        <w:rPr>
          <w:rFonts w:eastAsia="楷体_GB2312"/>
        </w:rPr>
        <w:fldChar w:fldCharType="separate"/>
      </w:r>
      <w:r>
        <w:rPr>
          <w:rFonts w:eastAsia="楷体_GB2312"/>
          <w:sz w:val="24"/>
        </w:rPr>
        <w:t>14</w:t>
      </w:r>
      <w:r>
        <w:rPr>
          <w:rFonts w:eastAsia="楷体_GB2312"/>
        </w:rPr>
        <w:fldChar w:fldCharType="end"/>
      </w:r>
      <w:r>
        <w:rPr>
          <w:rFonts w:eastAsia="楷体_GB2312"/>
          <w:sz w:val="24"/>
        </w:rPr>
        <w:t>条的约定“清仓回购”“信贷资产”；</w:t>
      </w:r>
    </w:p>
    <w:p w14:paraId="6E3D1A32">
      <w:pPr>
        <w:numPr>
          <w:ilvl w:val="0"/>
          <w:numId w:val="37"/>
        </w:numPr>
        <w:spacing w:before="156" w:beforeLines="50" w:after="156" w:afterLines="50" w:line="360" w:lineRule="auto"/>
        <w:rPr>
          <w:rFonts w:eastAsia="楷体_GB2312"/>
          <w:sz w:val="24"/>
        </w:rPr>
      </w:pPr>
      <w:r>
        <w:rPr>
          <w:rFonts w:eastAsia="楷体_GB2312"/>
          <w:sz w:val="24"/>
        </w:rPr>
        <w:t>与本次“清仓回购”相关的“收款期间”系指【】年【】月【】日（不含该日）至【】年【】月【】日（含该日）；“回购起算日”系指【】年【】月【】日。</w:t>
      </w:r>
    </w:p>
    <w:p w14:paraId="3922DACA">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09303D25">
      <w:pPr>
        <w:spacing w:before="156" w:beforeLines="50" w:after="156" w:afterLines="50" w:line="360" w:lineRule="auto"/>
        <w:ind w:left="210" w:leftChars="100"/>
        <w:jc w:val="right"/>
        <w:rPr>
          <w:rFonts w:eastAsia="楷体_GB2312"/>
          <w:sz w:val="24"/>
        </w:rPr>
      </w:pPr>
    </w:p>
    <w:p w14:paraId="1AA66C0A">
      <w:pPr>
        <w:spacing w:before="156" w:beforeLines="50" w:after="156" w:afterLines="50" w:line="360" w:lineRule="auto"/>
        <w:jc w:val="left"/>
        <w:rPr>
          <w:rFonts w:eastAsia="楷体_GB2312"/>
          <w:sz w:val="24"/>
        </w:rPr>
      </w:pPr>
      <w:r>
        <w:rPr>
          <w:rFonts w:eastAsia="楷体_GB2312"/>
          <w:sz w:val="24"/>
        </w:rPr>
        <w:t>委托人：【发起机构全称】</w:t>
      </w:r>
    </w:p>
    <w:p w14:paraId="7D8B8CED">
      <w:pPr>
        <w:spacing w:before="156" w:beforeLines="50" w:after="156" w:afterLines="50" w:line="360" w:lineRule="auto"/>
        <w:jc w:val="left"/>
        <w:rPr>
          <w:rFonts w:eastAsia="楷体_GB2312"/>
          <w:sz w:val="24"/>
        </w:rPr>
      </w:pPr>
      <w:r>
        <w:rPr>
          <w:rFonts w:eastAsia="楷体_GB2312"/>
          <w:sz w:val="24"/>
        </w:rPr>
        <w:t>法定代表人或授权代理人：</w:t>
      </w:r>
    </w:p>
    <w:p w14:paraId="6DAA635F">
      <w:pPr>
        <w:spacing w:before="156" w:beforeLines="50" w:after="156" w:afterLines="50" w:line="360" w:lineRule="auto"/>
        <w:jc w:val="left"/>
        <w:rPr>
          <w:rFonts w:eastAsia="楷体_GB2312"/>
          <w:sz w:val="24"/>
        </w:rPr>
      </w:pPr>
      <w:r>
        <w:rPr>
          <w:rFonts w:eastAsia="楷体_GB2312"/>
          <w:sz w:val="24"/>
        </w:rPr>
        <w:t>签署日期：【】年【】月【】日</w:t>
      </w:r>
    </w:p>
    <w:p w14:paraId="3CB31658">
      <w:pPr>
        <w:spacing w:before="156" w:beforeLines="50" w:after="156" w:afterLines="50" w:line="360" w:lineRule="auto"/>
        <w:ind w:right="480"/>
        <w:outlineLvl w:val="0"/>
        <w:rPr>
          <w:rFonts w:eastAsia="楷体_GB2312"/>
          <w:b/>
          <w:sz w:val="24"/>
        </w:rPr>
      </w:pPr>
      <w:r>
        <w:rPr>
          <w:rFonts w:eastAsia="楷体_GB2312"/>
          <w:sz w:val="24"/>
        </w:rPr>
        <w:br w:type="page"/>
      </w:r>
      <w:bookmarkStart w:id="781" w:name="_Toc402883986"/>
      <w:bookmarkStart w:id="782" w:name="_Toc51277245"/>
      <w:bookmarkStart w:id="783" w:name="_Toc221382882"/>
      <w:bookmarkStart w:id="784" w:name="_Toc6077"/>
      <w:bookmarkStart w:id="785" w:name="_Toc416687734"/>
      <w:r>
        <w:rPr>
          <w:rFonts w:eastAsia="楷体_GB2312"/>
          <w:b/>
          <w:sz w:val="24"/>
        </w:rPr>
        <w:t>附件七：清仓回购要约通知格式</w:t>
      </w:r>
      <w:bookmarkEnd w:id="781"/>
      <w:bookmarkEnd w:id="782"/>
      <w:bookmarkEnd w:id="783"/>
      <w:bookmarkEnd w:id="784"/>
      <w:bookmarkEnd w:id="785"/>
    </w:p>
    <w:p w14:paraId="3D6CF7EC">
      <w:pPr>
        <w:spacing w:before="156" w:beforeLines="50" w:after="156" w:afterLines="50" w:line="360" w:lineRule="auto"/>
        <w:jc w:val="center"/>
        <w:rPr>
          <w:rFonts w:eastAsia="楷体_GB2312"/>
          <w:sz w:val="28"/>
          <w:szCs w:val="28"/>
        </w:rPr>
      </w:pPr>
      <w:r>
        <w:rPr>
          <w:rFonts w:eastAsia="楷体_GB2312"/>
          <w:b/>
          <w:sz w:val="28"/>
          <w:szCs w:val="28"/>
        </w:rPr>
        <w:t>清仓回购要约通知书（格式）</w:t>
      </w:r>
    </w:p>
    <w:p w14:paraId="186FFD4A">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【发起机构全称】（“委托人”）</w:t>
      </w:r>
    </w:p>
    <w:p w14:paraId="1B54D095">
      <w:pPr>
        <w:spacing w:before="156" w:beforeLines="50" w:after="156" w:afterLines="50" w:line="360" w:lineRule="auto"/>
        <w:rPr>
          <w:rFonts w:eastAsia="楷体_GB2312"/>
          <w:sz w:val="24"/>
        </w:rPr>
      </w:pPr>
      <w:r>
        <w:rPr>
          <w:rFonts w:eastAsia="楷体_GB2312"/>
          <w:sz w:val="24"/>
        </w:rPr>
        <w:t>日期：_______________</w:t>
      </w:r>
    </w:p>
    <w:p w14:paraId="1FD2AFA9">
      <w:pPr>
        <w:spacing w:before="156" w:beforeLines="50" w:after="156" w:afterLines="50" w:line="360" w:lineRule="auto"/>
        <w:ind w:left="-62" w:firstLine="480" w:firstLineChars="200"/>
        <w:rPr>
          <w:rFonts w:eastAsia="楷体_GB2312"/>
          <w:sz w:val="24"/>
        </w:rPr>
      </w:pPr>
      <w:r>
        <w:rPr>
          <w:rFonts w:eastAsia="楷体_GB2312"/>
          <w:sz w:val="24"/>
        </w:rPr>
        <w:t>根据【受托机构全称】与【发起机构全称】签署的编号为【信托合同编号】的《</w:t>
      </w:r>
      <w:r>
        <w:rPr>
          <w:rFonts w:eastAsia="楷体_GB2312"/>
          <w:color w:val="000000"/>
          <w:sz w:val="24"/>
        </w:rPr>
        <w:t>【信托名称】</w:t>
      </w:r>
      <w:r>
        <w:rPr>
          <w:rFonts w:eastAsia="楷体_GB2312"/>
          <w:sz w:val="24"/>
        </w:rPr>
        <w:t>之信托合同》（“《信托合同》”）的约定，本公司（作为“受托人”）向贵行（作为“委托人”）通知如下：</w:t>
      </w:r>
    </w:p>
    <w:p w14:paraId="70A99D77">
      <w:pPr>
        <w:numPr>
          <w:ilvl w:val="0"/>
          <w:numId w:val="38"/>
        </w:numPr>
        <w:spacing w:before="156" w:beforeLines="50" w:after="156" w:afterLines="50" w:line="360" w:lineRule="auto"/>
        <w:rPr>
          <w:rFonts w:eastAsia="楷体_GB2312"/>
          <w:sz w:val="24"/>
        </w:rPr>
      </w:pPr>
      <w:r>
        <w:rPr>
          <w:rFonts w:eastAsia="楷体_GB2312"/>
          <w:sz w:val="24"/>
        </w:rPr>
        <w:t>本公司已收到贵行于【日期】发出的清仓回购通知（见本通知附件）；</w:t>
      </w:r>
    </w:p>
    <w:p w14:paraId="360ACB7A">
      <w:pPr>
        <w:numPr>
          <w:ilvl w:val="0"/>
          <w:numId w:val="38"/>
        </w:numPr>
        <w:spacing w:before="156" w:beforeLines="50" w:after="156" w:afterLines="50" w:line="360" w:lineRule="auto"/>
        <w:rPr>
          <w:rFonts w:eastAsia="楷体_GB2312"/>
          <w:sz w:val="24"/>
        </w:rPr>
      </w:pPr>
      <w:r>
        <w:rPr>
          <w:rFonts w:eastAsia="楷体_GB2312"/>
          <w:sz w:val="24"/>
        </w:rPr>
        <w:t>“清仓回购价格”为【】元；</w:t>
      </w:r>
    </w:p>
    <w:p w14:paraId="572CDADD">
      <w:pPr>
        <w:numPr>
          <w:ilvl w:val="0"/>
          <w:numId w:val="38"/>
        </w:numPr>
        <w:spacing w:before="156" w:beforeLines="50" w:after="156" w:afterLines="50" w:line="360" w:lineRule="auto"/>
        <w:rPr>
          <w:rFonts w:eastAsia="楷体_GB2312"/>
          <w:sz w:val="24"/>
        </w:rPr>
      </w:pPr>
      <w:r>
        <w:rPr>
          <w:rFonts w:eastAsia="楷体_GB2312"/>
          <w:sz w:val="24"/>
        </w:rPr>
        <w:t>在贵行承诺后，本公司将自“回购起算日”【</w:t>
      </w:r>
      <w:r>
        <w:rPr>
          <w:rFonts w:eastAsia="楷体_GB2312"/>
          <w:bCs/>
          <w:i/>
          <w:iCs/>
          <w:sz w:val="24"/>
        </w:rPr>
        <w:t>具体时点</w:t>
      </w:r>
      <w:r>
        <w:rPr>
          <w:rFonts w:eastAsia="楷体_GB2312"/>
          <w:sz w:val="24"/>
        </w:rPr>
        <w:t>】起“信托”项下的全部“信贷资产”以“清仓回购价格”出售给贵行，贵行应不晚于【】年【】月【】日将清仓回购价款划付至如下“信托账户”，户名：【】，开户行：【】，账号：【】，大额支付号：【】；如“清仓回购价格”为零，则本公司收到贵行发出的清仓回购承诺通知书之日视为贵行支付完毕相当于“清仓回购价格”的资金之日。</w:t>
      </w:r>
    </w:p>
    <w:p w14:paraId="6ED53E6D">
      <w:pPr>
        <w:numPr>
          <w:ilvl w:val="0"/>
          <w:numId w:val="38"/>
        </w:numPr>
        <w:spacing w:before="156" w:beforeLines="50" w:after="156" w:afterLines="50" w:line="360" w:lineRule="auto"/>
        <w:rPr>
          <w:rFonts w:eastAsia="楷体_GB2312"/>
          <w:sz w:val="24"/>
        </w:rPr>
      </w:pPr>
      <w:r>
        <w:rPr>
          <w:rFonts w:eastAsia="楷体_GB2312"/>
          <w:sz w:val="24"/>
        </w:rPr>
        <w:t>与本次出售相关的“收款期间”系指【】年【】月【】日（不含该日）至【】年【】月【】日（含该日）；“回购起算日”系指【】年【】月【】日。</w:t>
      </w:r>
    </w:p>
    <w:p w14:paraId="05C8DC41">
      <w:pPr>
        <w:numPr>
          <w:ilvl w:val="0"/>
          <w:numId w:val="38"/>
        </w:numPr>
        <w:spacing w:before="156" w:beforeLines="50" w:after="156" w:afterLines="50" w:line="360" w:lineRule="auto"/>
        <w:rPr>
          <w:rFonts w:eastAsia="楷体_GB2312"/>
          <w:sz w:val="24"/>
        </w:rPr>
      </w:pPr>
      <w:r>
        <w:rPr>
          <w:rFonts w:eastAsia="楷体_GB2312"/>
          <w:sz w:val="24"/>
        </w:rPr>
        <w:t>贵行如欲同意接受本要约，应于收到本要约后【】个“工作日”内将承诺通知发送给本公司。</w:t>
      </w:r>
    </w:p>
    <w:p w14:paraId="05B65873">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3F6BD50C">
      <w:pPr>
        <w:spacing w:before="156" w:beforeLines="50" w:after="156" w:afterLines="50" w:line="276" w:lineRule="auto"/>
        <w:jc w:val="right"/>
        <w:rPr>
          <w:rFonts w:eastAsia="楷体_GB2312"/>
          <w:sz w:val="24"/>
        </w:rPr>
      </w:pPr>
      <w:r>
        <w:rPr>
          <w:rFonts w:eastAsia="楷体_GB2312"/>
          <w:sz w:val="24"/>
        </w:rPr>
        <w:t>受托人：【受托机构全称】</w:t>
      </w:r>
    </w:p>
    <w:p w14:paraId="26D8F9B7">
      <w:pPr>
        <w:spacing w:before="156" w:beforeLines="50" w:after="156" w:afterLines="50" w:line="276" w:lineRule="auto"/>
        <w:ind w:right="84"/>
        <w:jc w:val="right"/>
        <w:rPr>
          <w:rFonts w:eastAsia="楷体_GB2312"/>
          <w:sz w:val="24"/>
        </w:rPr>
      </w:pPr>
      <w:r>
        <w:rPr>
          <w:rFonts w:eastAsia="楷体_GB2312"/>
          <w:sz w:val="24"/>
        </w:rPr>
        <w:t>法定代表人或授权代理人：</w:t>
      </w:r>
    </w:p>
    <w:p w14:paraId="6CF0987A">
      <w:pPr>
        <w:spacing w:before="156" w:beforeLines="50" w:after="156" w:afterLines="50" w:line="276" w:lineRule="auto"/>
        <w:jc w:val="right"/>
        <w:rPr>
          <w:rFonts w:eastAsia="楷体_GB2312"/>
        </w:rPr>
      </w:pPr>
      <w:r>
        <w:rPr>
          <w:rFonts w:eastAsia="楷体_GB2312"/>
          <w:sz w:val="24"/>
        </w:rPr>
        <w:t>【】年【】月【】日</w:t>
      </w:r>
    </w:p>
    <w:p w14:paraId="65166698">
      <w:pPr>
        <w:spacing w:before="156" w:beforeLines="50" w:after="156" w:afterLines="50" w:line="360" w:lineRule="auto"/>
        <w:rPr>
          <w:rFonts w:eastAsia="楷体_GB2312"/>
          <w:b/>
          <w:sz w:val="24"/>
        </w:rPr>
      </w:pPr>
      <w:r>
        <w:rPr>
          <w:rFonts w:eastAsia="楷体_GB2312"/>
          <w:b/>
          <w:sz w:val="24"/>
        </w:rPr>
        <w:t>附：清仓回购通知</w:t>
      </w:r>
    </w:p>
    <w:p w14:paraId="276AD32D">
      <w:pPr>
        <w:spacing w:before="156" w:beforeLines="50" w:after="156" w:afterLines="50" w:line="360" w:lineRule="auto"/>
        <w:ind w:right="480"/>
        <w:outlineLvl w:val="0"/>
        <w:rPr>
          <w:rFonts w:eastAsia="楷体_GB2312"/>
          <w:b/>
          <w:sz w:val="24"/>
        </w:rPr>
      </w:pPr>
      <w:r>
        <w:rPr>
          <w:rFonts w:eastAsia="楷体_GB2312"/>
          <w:b/>
          <w:sz w:val="24"/>
        </w:rPr>
        <w:br w:type="page"/>
      </w:r>
      <w:bookmarkStart w:id="786" w:name="_Toc416687735"/>
      <w:bookmarkStart w:id="787" w:name="_Toc24654"/>
      <w:bookmarkStart w:id="788" w:name="_Toc221382883"/>
      <w:bookmarkStart w:id="789" w:name="_Toc51277246"/>
      <w:bookmarkStart w:id="790" w:name="_Toc402883987"/>
      <w:r>
        <w:rPr>
          <w:rFonts w:eastAsia="楷体_GB2312"/>
          <w:b/>
          <w:sz w:val="24"/>
        </w:rPr>
        <w:t>附件八：清仓回购承诺通知格式</w:t>
      </w:r>
      <w:bookmarkEnd w:id="786"/>
      <w:bookmarkEnd w:id="787"/>
      <w:bookmarkEnd w:id="788"/>
      <w:bookmarkEnd w:id="789"/>
      <w:bookmarkEnd w:id="790"/>
    </w:p>
    <w:p w14:paraId="483425C9">
      <w:pPr>
        <w:spacing w:before="156" w:beforeLines="50" w:after="156" w:afterLines="50" w:line="360" w:lineRule="auto"/>
        <w:jc w:val="center"/>
        <w:rPr>
          <w:rFonts w:eastAsia="楷体_GB2312"/>
          <w:sz w:val="28"/>
          <w:szCs w:val="28"/>
        </w:rPr>
      </w:pPr>
      <w:r>
        <w:rPr>
          <w:rFonts w:eastAsia="楷体_GB2312"/>
          <w:b/>
          <w:sz w:val="28"/>
          <w:szCs w:val="28"/>
        </w:rPr>
        <w:t>清仓回购承诺通知书（格式）</w:t>
      </w:r>
    </w:p>
    <w:p w14:paraId="139A71F4">
      <w:pPr>
        <w:spacing w:before="156" w:beforeLines="50" w:after="156" w:afterLines="50" w:line="360" w:lineRule="auto"/>
        <w:rPr>
          <w:rFonts w:eastAsia="楷体_GB2312"/>
          <w:sz w:val="24"/>
        </w:rPr>
      </w:pPr>
      <w:r>
        <w:rPr>
          <w:rFonts w:eastAsia="楷体_GB2312"/>
          <w:sz w:val="24"/>
        </w:rPr>
        <w:t>致：</w:t>
      </w:r>
      <w:r>
        <w:rPr>
          <w:rFonts w:eastAsia="楷体_GB2312"/>
          <w:sz w:val="24"/>
        </w:rPr>
        <w:tab/>
      </w:r>
      <w:r>
        <w:rPr>
          <w:rFonts w:eastAsia="楷体_GB2312"/>
          <w:sz w:val="24"/>
        </w:rPr>
        <w:t>【受托机构全称】（“受托人”）</w:t>
      </w:r>
    </w:p>
    <w:p w14:paraId="271260A1">
      <w:pPr>
        <w:spacing w:before="156" w:beforeLines="50" w:after="156" w:afterLines="50" w:line="360" w:lineRule="auto"/>
        <w:rPr>
          <w:rFonts w:eastAsia="楷体_GB2312"/>
          <w:sz w:val="24"/>
        </w:rPr>
      </w:pPr>
      <w:r>
        <w:rPr>
          <w:rFonts w:eastAsia="楷体_GB2312"/>
          <w:sz w:val="24"/>
        </w:rPr>
        <w:t>日期：_______________</w:t>
      </w:r>
    </w:p>
    <w:p w14:paraId="0711C2CE">
      <w:pPr>
        <w:spacing w:before="156" w:beforeLines="50" w:after="156" w:afterLines="50" w:line="360" w:lineRule="auto"/>
        <w:ind w:left="-62" w:firstLine="480" w:firstLineChars="200"/>
        <w:rPr>
          <w:rFonts w:eastAsia="楷体_GB2312"/>
          <w:sz w:val="24"/>
        </w:rPr>
      </w:pPr>
      <w:r>
        <w:rPr>
          <w:rFonts w:eastAsia="楷体_GB2312"/>
          <w:sz w:val="24"/>
        </w:rPr>
        <w:t>根据【发起机构全称】与【受托机构全称】签署的编号为【信托合同编号】的《</w:t>
      </w:r>
      <w:r>
        <w:rPr>
          <w:rFonts w:eastAsia="楷体_GB2312"/>
          <w:color w:val="000000"/>
          <w:sz w:val="24"/>
        </w:rPr>
        <w:t>【信托名称】</w:t>
      </w:r>
      <w:r>
        <w:rPr>
          <w:rFonts w:eastAsia="楷体_GB2312"/>
          <w:sz w:val="24"/>
        </w:rPr>
        <w:t>之信托合同》（“《信托合同》”）的约定，本行（作为“委托人”）向贵公司（作为“受托人”）通知如下：</w:t>
      </w:r>
    </w:p>
    <w:p w14:paraId="4F6B02CC">
      <w:pPr>
        <w:numPr>
          <w:ilvl w:val="0"/>
          <w:numId w:val="39"/>
        </w:numPr>
        <w:spacing w:before="156" w:beforeLines="50" w:after="156" w:afterLines="50" w:line="360" w:lineRule="auto"/>
        <w:rPr>
          <w:rFonts w:eastAsia="楷体_GB2312"/>
          <w:sz w:val="24"/>
        </w:rPr>
      </w:pPr>
      <w:r>
        <w:rPr>
          <w:rFonts w:eastAsia="楷体_GB2312"/>
          <w:sz w:val="24"/>
        </w:rPr>
        <w:t>本行已收到贵公司于【</w:t>
      </w:r>
      <w:r>
        <w:rPr>
          <w:rFonts w:eastAsia="楷体_GB2312"/>
          <w:i/>
          <w:iCs/>
          <w:sz w:val="24"/>
        </w:rPr>
        <w:t>日期</w:t>
      </w:r>
      <w:r>
        <w:rPr>
          <w:rFonts w:eastAsia="楷体_GB2312"/>
          <w:sz w:val="24"/>
        </w:rPr>
        <w:t>】发出的清仓回购要约（见本通知附件），且本行同意接受该要约。</w:t>
      </w:r>
    </w:p>
    <w:p w14:paraId="57571B28">
      <w:pPr>
        <w:numPr>
          <w:ilvl w:val="0"/>
          <w:numId w:val="39"/>
        </w:numPr>
        <w:spacing w:before="156" w:beforeLines="50" w:after="156" w:afterLines="50" w:line="360" w:lineRule="auto"/>
        <w:rPr>
          <w:rFonts w:eastAsia="楷体_GB2312"/>
          <w:sz w:val="24"/>
        </w:rPr>
      </w:pPr>
      <w:r>
        <w:rPr>
          <w:rFonts w:eastAsia="楷体_GB2312"/>
          <w:sz w:val="24"/>
        </w:rPr>
        <w:t>本通知为不可撤销的承诺通知。</w:t>
      </w:r>
    </w:p>
    <w:p w14:paraId="43B9BF92">
      <w:pPr>
        <w:spacing w:before="156" w:beforeLines="50" w:after="156" w:afterLines="50" w:line="360" w:lineRule="auto"/>
        <w:ind w:left="-62" w:firstLine="480" w:firstLineChars="200"/>
        <w:rPr>
          <w:rFonts w:eastAsia="楷体_GB2312"/>
          <w:sz w:val="24"/>
        </w:rPr>
      </w:pPr>
      <w:r>
        <w:rPr>
          <w:rFonts w:eastAsia="楷体_GB2312"/>
          <w:sz w:val="24"/>
        </w:rPr>
        <w:t>若无相反定义，本通知使用的词语和表述与编号为【主定义表编号】的《【信托名称】主定义表》、“《信托合同》”中的相同词语和表述具有相同含义。</w:t>
      </w:r>
    </w:p>
    <w:p w14:paraId="47F72F69">
      <w:pPr>
        <w:spacing w:before="156" w:beforeLines="50" w:after="156" w:afterLines="50" w:line="360" w:lineRule="auto"/>
        <w:rPr>
          <w:rFonts w:eastAsia="楷体_GB2312"/>
          <w:b/>
          <w:sz w:val="28"/>
          <w:szCs w:val="28"/>
        </w:rPr>
      </w:pPr>
    </w:p>
    <w:p w14:paraId="70E2B425">
      <w:pPr>
        <w:spacing w:before="156" w:beforeLines="50" w:after="156" w:afterLines="50" w:line="360" w:lineRule="auto"/>
        <w:ind w:left="1" w:hanging="1"/>
        <w:jc w:val="left"/>
        <w:rPr>
          <w:rFonts w:eastAsia="楷体_GB2312"/>
          <w:sz w:val="24"/>
        </w:rPr>
      </w:pPr>
      <w:r>
        <w:rPr>
          <w:rFonts w:eastAsia="楷体_GB2312"/>
          <w:sz w:val="24"/>
        </w:rPr>
        <w:t>委托人：【发起机构全称】</w:t>
      </w:r>
    </w:p>
    <w:p w14:paraId="4425E9F3">
      <w:pPr>
        <w:spacing w:before="156" w:beforeLines="50" w:after="156" w:afterLines="50" w:line="360" w:lineRule="auto"/>
        <w:ind w:left="1" w:hanging="1"/>
        <w:jc w:val="left"/>
        <w:rPr>
          <w:rFonts w:eastAsia="楷体_GB2312"/>
          <w:sz w:val="24"/>
        </w:rPr>
      </w:pPr>
      <w:r>
        <w:rPr>
          <w:rFonts w:eastAsia="楷体_GB2312"/>
          <w:sz w:val="24"/>
        </w:rPr>
        <w:t>法定代表人或授权代理人：</w:t>
      </w:r>
    </w:p>
    <w:p w14:paraId="7D8CE883">
      <w:pPr>
        <w:spacing w:before="156" w:beforeLines="50" w:after="156" w:afterLines="50" w:line="360" w:lineRule="auto"/>
        <w:ind w:left="1" w:hanging="1"/>
        <w:jc w:val="left"/>
        <w:rPr>
          <w:rFonts w:eastAsia="楷体_GB2312"/>
          <w:sz w:val="24"/>
        </w:rPr>
      </w:pPr>
      <w:r>
        <w:rPr>
          <w:rFonts w:eastAsia="楷体_GB2312"/>
          <w:sz w:val="24"/>
        </w:rPr>
        <w:t>签署日期：【】年【】月【】日</w:t>
      </w:r>
    </w:p>
    <w:p w14:paraId="21C0F69B">
      <w:pPr>
        <w:spacing w:before="156" w:beforeLines="50" w:after="156" w:afterLines="50" w:line="360" w:lineRule="auto"/>
        <w:ind w:left="1" w:hanging="1"/>
        <w:jc w:val="left"/>
        <w:rPr>
          <w:rFonts w:eastAsia="楷体_GB2312"/>
          <w:sz w:val="24"/>
        </w:rPr>
      </w:pPr>
    </w:p>
    <w:p w14:paraId="02C16C75">
      <w:pPr>
        <w:spacing w:before="156" w:beforeLines="50" w:after="156" w:afterLines="50" w:line="360" w:lineRule="auto"/>
        <w:rPr>
          <w:rFonts w:eastAsia="楷体_GB2312"/>
          <w:b/>
          <w:sz w:val="24"/>
        </w:rPr>
      </w:pPr>
      <w:r>
        <w:rPr>
          <w:rFonts w:eastAsia="楷体_GB2312"/>
          <w:b/>
          <w:sz w:val="24"/>
        </w:rPr>
        <w:t>附：清仓回购要约</w:t>
      </w:r>
    </w:p>
    <w:p w14:paraId="516A774E">
      <w:pPr>
        <w:spacing w:line="380" w:lineRule="atLeast"/>
        <w:outlineLvl w:val="0"/>
        <w:rPr>
          <w:rFonts w:eastAsia="楷体_GB2312"/>
          <w:sz w:val="24"/>
        </w:rPr>
      </w:pPr>
      <w:r>
        <w:rPr>
          <w:rFonts w:eastAsia="楷体_GB2312"/>
          <w:sz w:val="24"/>
        </w:rPr>
        <w:br w:type="page"/>
      </w:r>
    </w:p>
    <w:p w14:paraId="7C6FCB05">
      <w:pPr>
        <w:spacing w:line="380" w:lineRule="atLeast"/>
        <w:outlineLvl w:val="0"/>
        <w:rPr>
          <w:rFonts w:eastAsia="楷体_GB2312"/>
          <w:b/>
          <w:sz w:val="24"/>
        </w:rPr>
      </w:pPr>
      <w:bookmarkStart w:id="791" w:name="_Toc221382884"/>
      <w:bookmarkStart w:id="792" w:name="_Toc51277247"/>
      <w:bookmarkStart w:id="793" w:name="_Toc7309"/>
      <w:r>
        <w:rPr>
          <w:rFonts w:eastAsia="楷体_GB2312"/>
          <w:b/>
          <w:sz w:val="24"/>
        </w:rPr>
        <w:t>附件九：信托会计处理的原则和方式</w:t>
      </w:r>
      <w:bookmarkEnd w:id="780"/>
      <w:bookmarkEnd w:id="791"/>
      <w:bookmarkEnd w:id="792"/>
      <w:bookmarkEnd w:id="793"/>
    </w:p>
    <w:p w14:paraId="67CC6DEF">
      <w:pPr>
        <w:spacing w:line="380" w:lineRule="atLeast"/>
        <w:rPr>
          <w:rFonts w:eastAsia="楷体_GB2312"/>
          <w:sz w:val="24"/>
        </w:rPr>
      </w:pPr>
    </w:p>
    <w:p w14:paraId="28A2520D">
      <w:pPr>
        <w:pStyle w:val="8"/>
        <w:spacing w:after="0" w:line="380" w:lineRule="atLeast"/>
        <w:ind w:firstLine="504"/>
        <w:jc w:val="center"/>
        <w:rPr>
          <w:rFonts w:eastAsia="楷体_GB2312"/>
          <w:b/>
          <w:sz w:val="28"/>
          <w:szCs w:val="28"/>
        </w:rPr>
      </w:pPr>
      <w:r>
        <w:rPr>
          <w:rFonts w:eastAsia="楷体_GB2312"/>
          <w:b/>
          <w:sz w:val="28"/>
          <w:szCs w:val="28"/>
        </w:rPr>
        <w:t>信托会计处理的原则和方式</w:t>
      </w:r>
    </w:p>
    <w:p w14:paraId="76328999">
      <w:pPr>
        <w:pStyle w:val="59"/>
        <w:spacing w:after="0" w:line="380" w:lineRule="atLeast"/>
        <w:rPr>
          <w:rFonts w:eastAsia="楷体_GB2312"/>
          <w:lang w:eastAsia="zh-CN"/>
        </w:rPr>
      </w:pPr>
    </w:p>
    <w:p w14:paraId="0BD59A5C">
      <w:pPr>
        <w:pStyle w:val="5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“信托”涉及的各交易主体（包括“受托人”、“贷款服务机构”和“资金保管机构”等）应根据本身所负责的事务，采用适当的形式为“信托”单独记账、单独核算、单独编制财务会计报告。</w:t>
      </w:r>
    </w:p>
    <w:p w14:paraId="1C8F84EE">
      <w:pPr>
        <w:pStyle w:val="59"/>
        <w:spacing w:after="0" w:line="380" w:lineRule="atLeast"/>
        <w:rPr>
          <w:rFonts w:eastAsia="楷体_GB2312"/>
          <w:lang w:eastAsia="zh-CN"/>
        </w:rPr>
      </w:pPr>
    </w:p>
    <w:p w14:paraId="48EB5934">
      <w:pPr>
        <w:pStyle w:val="5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“信托”涉及的各交易主体应根据财政部制定的《企业会计准则》以及监管机关关于信贷资产证券化试点的一系列管理规定进行会计处理，分工完成整个信托过程的会计处理。</w:t>
      </w:r>
    </w:p>
    <w:p w14:paraId="07CA0952">
      <w:pPr>
        <w:pStyle w:val="59"/>
        <w:spacing w:after="0" w:line="380" w:lineRule="atLeast"/>
        <w:rPr>
          <w:rFonts w:eastAsia="楷体_GB2312"/>
          <w:lang w:eastAsia="zh-CN"/>
        </w:rPr>
      </w:pPr>
    </w:p>
    <w:p w14:paraId="6CD431B4">
      <w:pPr>
        <w:pStyle w:val="60"/>
        <w:tabs>
          <w:tab w:val="left" w:pos="1440"/>
        </w:tabs>
        <w:spacing w:after="0" w:line="380" w:lineRule="atLeast"/>
        <w:ind w:left="1440" w:hanging="216"/>
        <w:rPr>
          <w:rFonts w:eastAsia="楷体_GB2312"/>
          <w:lang w:eastAsia="zh-CN"/>
        </w:rPr>
      </w:pPr>
      <w:r>
        <w:rPr>
          <w:rFonts w:eastAsia="楷体_GB2312"/>
          <w:lang w:eastAsia="zh-CN"/>
        </w:rPr>
        <w:t>“受托人”根据《企业会计准则》为“信托”建立一套完整的核算体系，对“信贷资产”的管理进行总账核算。</w:t>
      </w:r>
    </w:p>
    <w:p w14:paraId="2383B8F5">
      <w:pPr>
        <w:pStyle w:val="60"/>
        <w:numPr>
          <w:ilvl w:val="0"/>
          <w:numId w:val="0"/>
        </w:numPr>
        <w:spacing w:after="0" w:line="380" w:lineRule="atLeast"/>
        <w:ind w:left="1440"/>
        <w:rPr>
          <w:rFonts w:eastAsia="楷体_GB2312"/>
          <w:lang w:eastAsia="zh-CN"/>
        </w:rPr>
      </w:pPr>
    </w:p>
    <w:p w14:paraId="0F5B5E82">
      <w:pPr>
        <w:pStyle w:val="60"/>
        <w:numPr>
          <w:ilvl w:val="0"/>
          <w:numId w:val="0"/>
        </w:numPr>
        <w:spacing w:after="0" w:line="380" w:lineRule="atLeast"/>
        <w:ind w:left="1440"/>
        <w:rPr>
          <w:rFonts w:eastAsia="楷体_GB2312"/>
          <w:lang w:eastAsia="zh-CN"/>
        </w:rPr>
      </w:pPr>
      <w:r>
        <w:rPr>
          <w:rFonts w:eastAsia="楷体_GB2312"/>
          <w:lang w:eastAsia="zh-CN"/>
        </w:rPr>
        <w:t>受托人对“信贷资产”进行会计核算的直接依据是“贷款服务机构报告”、“贷款服务机构”会计信息等统计报告，不同于一般意义上依据原始凭证进行的会计核算。“受托人”对上述信托财产不进行逐笔的、明细的会计核算。</w:t>
      </w:r>
    </w:p>
    <w:p w14:paraId="3F4549FD">
      <w:pPr>
        <w:pStyle w:val="60"/>
        <w:numPr>
          <w:ilvl w:val="0"/>
          <w:numId w:val="0"/>
        </w:numPr>
        <w:spacing w:after="0" w:line="380" w:lineRule="atLeast"/>
        <w:rPr>
          <w:rFonts w:eastAsia="楷体_GB2312"/>
          <w:lang w:eastAsia="zh-CN"/>
        </w:rPr>
      </w:pPr>
    </w:p>
    <w:p w14:paraId="6034418E">
      <w:pPr>
        <w:pStyle w:val="60"/>
        <w:tabs>
          <w:tab w:val="left" w:pos="1440"/>
        </w:tabs>
        <w:spacing w:after="0" w:line="380" w:lineRule="atLeast"/>
        <w:ind w:left="1440" w:hanging="216"/>
        <w:rPr>
          <w:rFonts w:eastAsia="楷体_GB2312"/>
          <w:lang w:eastAsia="zh-CN"/>
        </w:rPr>
      </w:pPr>
      <w:r>
        <w:rPr>
          <w:rFonts w:eastAsia="楷体_GB2312"/>
          <w:lang w:eastAsia="zh-CN"/>
        </w:rPr>
        <w:t>“贷款服务机构”负责“信贷资产”的逐笔明细核算。“贷款服务机构”应按一般标准管理、核算“信托”的“信贷资产”，包括有关管理方法、违约贷款处置程序及方法和账务处理方法。</w:t>
      </w:r>
    </w:p>
    <w:p w14:paraId="4FC3CBD6">
      <w:pPr>
        <w:pStyle w:val="60"/>
        <w:numPr>
          <w:ilvl w:val="0"/>
          <w:numId w:val="0"/>
        </w:numPr>
        <w:spacing w:after="0" w:line="380" w:lineRule="atLeast"/>
        <w:ind w:left="1440"/>
        <w:rPr>
          <w:rFonts w:eastAsia="楷体_GB2312"/>
          <w:lang w:eastAsia="zh-CN"/>
        </w:rPr>
      </w:pPr>
    </w:p>
    <w:p w14:paraId="256FB61F">
      <w:pPr>
        <w:pStyle w:val="60"/>
        <w:numPr>
          <w:ilvl w:val="0"/>
          <w:numId w:val="0"/>
        </w:numPr>
        <w:spacing w:after="0" w:line="380" w:lineRule="atLeast"/>
        <w:ind w:left="1440"/>
        <w:rPr>
          <w:rFonts w:eastAsia="楷体_GB2312"/>
          <w:lang w:eastAsia="zh-CN"/>
        </w:rPr>
      </w:pPr>
      <w:r>
        <w:rPr>
          <w:rFonts w:eastAsia="楷体_GB2312"/>
          <w:lang w:eastAsia="zh-CN"/>
        </w:rPr>
        <w:t>“受托人”将“贷款服务机构报告”和“贷款服务机构”会计信息作为会计处理依据。“贷款服务机构”应保证在同一报告期内，“贷款服务机构报告”和“贷款服务机构”会计信息的有关内容和其会计账面数字一致。</w:t>
      </w:r>
    </w:p>
    <w:p w14:paraId="49AA93E2">
      <w:pPr>
        <w:pStyle w:val="60"/>
        <w:numPr>
          <w:ilvl w:val="0"/>
          <w:numId w:val="0"/>
        </w:numPr>
        <w:spacing w:after="0" w:line="380" w:lineRule="atLeast"/>
        <w:rPr>
          <w:rFonts w:eastAsia="楷体_GB2312"/>
          <w:lang w:eastAsia="zh-CN"/>
        </w:rPr>
      </w:pPr>
    </w:p>
    <w:p w14:paraId="2FF83007">
      <w:pPr>
        <w:pStyle w:val="60"/>
        <w:tabs>
          <w:tab w:val="left" w:pos="1440"/>
        </w:tabs>
        <w:spacing w:after="0" w:line="380" w:lineRule="atLeast"/>
        <w:ind w:left="1440" w:hanging="216"/>
        <w:rPr>
          <w:rFonts w:eastAsia="楷体_GB2312"/>
          <w:lang w:eastAsia="zh-CN"/>
        </w:rPr>
      </w:pPr>
      <w:r>
        <w:rPr>
          <w:rFonts w:eastAsia="楷体_GB2312"/>
          <w:lang w:eastAsia="zh-CN"/>
        </w:rPr>
        <w:t>“受托人”依据“贷款服务机构报告”负责计算“信托”发生的费用、应付各服务机构报酬和应付“资产支持证券持有人”的本息，并向“资金保管机构”发出划款指令。</w:t>
      </w:r>
    </w:p>
    <w:p w14:paraId="5F5737BC">
      <w:pPr>
        <w:pStyle w:val="60"/>
        <w:numPr>
          <w:ilvl w:val="0"/>
          <w:numId w:val="0"/>
        </w:numPr>
        <w:spacing w:after="0" w:line="380" w:lineRule="atLeast"/>
        <w:ind w:left="1440"/>
        <w:rPr>
          <w:rFonts w:eastAsia="楷体_GB2312"/>
          <w:lang w:eastAsia="zh-CN"/>
        </w:rPr>
      </w:pPr>
    </w:p>
    <w:p w14:paraId="3002142B">
      <w:pPr>
        <w:pStyle w:val="60"/>
        <w:numPr>
          <w:ilvl w:val="0"/>
          <w:numId w:val="0"/>
        </w:numPr>
        <w:spacing w:after="0" w:line="380" w:lineRule="atLeast"/>
        <w:ind w:left="1440"/>
        <w:rPr>
          <w:rFonts w:eastAsia="楷体_GB2312"/>
          <w:lang w:eastAsia="zh-CN"/>
        </w:rPr>
      </w:pPr>
      <w:r>
        <w:rPr>
          <w:rFonts w:eastAsia="楷体_GB2312"/>
          <w:lang w:eastAsia="zh-CN"/>
        </w:rPr>
        <w:t>“受托人”依据“贷款服务机构报告”计提当季度应付的各项费用以及“资产支持证券持有人”收益。“受托人”根据相关的“贷款服务机构报告”、“资金保管报告”核算前一个季度计提的各项费用及“资产支持证券持有人”收益的支付情况。</w:t>
      </w:r>
    </w:p>
    <w:p w14:paraId="5ACC8C89">
      <w:pPr>
        <w:pStyle w:val="60"/>
        <w:numPr>
          <w:ilvl w:val="0"/>
          <w:numId w:val="0"/>
        </w:numPr>
        <w:spacing w:after="0" w:line="380" w:lineRule="atLeast"/>
        <w:rPr>
          <w:rFonts w:eastAsia="楷体_GB2312"/>
          <w:lang w:eastAsia="zh-CN"/>
        </w:rPr>
      </w:pPr>
    </w:p>
    <w:p w14:paraId="74385894">
      <w:pPr>
        <w:pStyle w:val="5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因管理“信贷资产”等产生的会计凭证保存在“贷款服务机构”处；各项“信托”费用的结算单据、发票等原始凭证保存在“受托人”处。上述机构应按财政部会计档案管理有关规定保存上述会计档案。</w:t>
      </w:r>
    </w:p>
    <w:p w14:paraId="30AB2CCA">
      <w:pPr>
        <w:pStyle w:val="59"/>
        <w:spacing w:after="0" w:line="380" w:lineRule="atLeast"/>
        <w:rPr>
          <w:rFonts w:eastAsia="楷体_GB2312"/>
          <w:lang w:eastAsia="zh-CN"/>
        </w:rPr>
      </w:pPr>
    </w:p>
    <w:p w14:paraId="31E20126">
      <w:pPr>
        <w:pStyle w:val="59"/>
        <w:numPr>
          <w:ilvl w:val="2"/>
          <w:numId w:val="1"/>
        </w:numPr>
        <w:tabs>
          <w:tab w:val="left" w:pos="709"/>
          <w:tab w:val="clear" w:pos="900"/>
        </w:tabs>
        <w:spacing w:after="0" w:line="380" w:lineRule="atLeast"/>
        <w:ind w:left="709" w:hanging="529"/>
        <w:rPr>
          <w:rFonts w:eastAsia="楷体_GB2312"/>
          <w:lang w:eastAsia="zh-CN"/>
        </w:rPr>
      </w:pPr>
      <w:r>
        <w:rPr>
          <w:rFonts w:eastAsia="楷体_GB2312"/>
          <w:lang w:eastAsia="zh-CN"/>
        </w:rPr>
        <w:t>“信托”终止时“受托人”出具“信托”清算报告。信托清算报告公告期满</w:t>
      </w:r>
      <w:r>
        <w:rPr>
          <w:rFonts w:eastAsia="楷体_GB2312"/>
          <w:color w:val="000000"/>
          <w:lang w:eastAsia="zh-CN"/>
        </w:rPr>
        <w:t>且“信托终止日”时“资产支持证券”未兑付完毕的</w:t>
      </w:r>
      <w:r>
        <w:rPr>
          <w:rFonts w:eastAsia="楷体_GB2312"/>
          <w:lang w:eastAsia="zh-CN"/>
        </w:rPr>
        <w:t>“资产支持证券持有人”未提出异议后，“信托”涉及的各交易主体进行各自账目结转、封存。</w:t>
      </w:r>
    </w:p>
    <w:p w14:paraId="4652D862">
      <w:pPr>
        <w:spacing w:line="380" w:lineRule="atLeast"/>
        <w:outlineLvl w:val="0"/>
        <w:rPr>
          <w:rFonts w:eastAsia="楷体_GB2312"/>
          <w:b/>
          <w:sz w:val="24"/>
        </w:rPr>
      </w:pPr>
      <w:r>
        <w:rPr>
          <w:rFonts w:eastAsia="楷体_GB2312"/>
          <w:sz w:val="24"/>
        </w:rPr>
        <w:br w:type="page"/>
      </w:r>
      <w:bookmarkStart w:id="794" w:name="_Toc221382885"/>
      <w:bookmarkStart w:id="795" w:name="_Toc51277248"/>
      <w:bookmarkStart w:id="796" w:name="_Toc15408"/>
      <w:bookmarkStart w:id="797" w:name="_Toc373951578"/>
      <w:r>
        <w:rPr>
          <w:rFonts w:eastAsia="楷体_GB2312"/>
          <w:b/>
          <w:sz w:val="24"/>
        </w:rPr>
        <w:t>附件十：受托机构报告格式</w:t>
      </w:r>
      <w:bookmarkEnd w:id="794"/>
      <w:bookmarkEnd w:id="795"/>
      <w:bookmarkEnd w:id="796"/>
      <w:bookmarkEnd w:id="797"/>
    </w:p>
    <w:p w14:paraId="73440FAD">
      <w:pPr>
        <w:spacing w:line="360" w:lineRule="auto"/>
        <w:rPr>
          <w:rFonts w:eastAsia="楷体_GB2312"/>
          <w:b/>
          <w:i/>
          <w:iCs/>
          <w:color w:val="FF0000"/>
          <w:sz w:val="24"/>
        </w:rPr>
      </w:pPr>
      <w:bookmarkStart w:id="798" w:name="_Hlk221705373"/>
      <w:r>
        <w:rPr>
          <w:rFonts w:eastAsia="楷体_GB2312"/>
          <w:b/>
          <w:i/>
          <w:iCs/>
          <w:color w:val="FF0000"/>
          <w:sz w:val="24"/>
        </w:rPr>
        <w:t>【注：报告格式与内容需要按届时所适用的最新信息披露指引进行调整并更新。】</w:t>
      </w:r>
      <w:bookmarkEnd w:id="798"/>
    </w:p>
    <w:p w14:paraId="151A4527">
      <w:pPr>
        <w:spacing w:line="380" w:lineRule="atLeast"/>
        <w:rPr>
          <w:rFonts w:eastAsia="楷体_GB2312"/>
          <w:b/>
          <w:sz w:val="24"/>
        </w:rPr>
      </w:pPr>
    </w:p>
    <w:p w14:paraId="2BDBB2D3">
      <w:pPr>
        <w:pStyle w:val="8"/>
        <w:spacing w:line="360" w:lineRule="exact"/>
        <w:ind w:firstLine="504"/>
        <w:jc w:val="center"/>
        <w:rPr>
          <w:rFonts w:eastAsia="楷体_GB2312"/>
          <w:b/>
          <w:sz w:val="28"/>
          <w:szCs w:val="28"/>
        </w:rPr>
      </w:pPr>
      <w:r>
        <w:rPr>
          <w:rFonts w:eastAsia="楷体_GB2312"/>
          <w:b/>
          <w:sz w:val="28"/>
          <w:szCs w:val="28"/>
        </w:rPr>
        <w:t>受托机构报告格式</w:t>
      </w:r>
    </w:p>
    <w:p w14:paraId="26681156">
      <w:pPr>
        <w:spacing w:line="380" w:lineRule="atLeast"/>
        <w:rPr>
          <w:rFonts w:eastAsia="楷体_GB2312"/>
          <w:b/>
          <w:sz w:val="24"/>
        </w:rPr>
      </w:pPr>
    </w:p>
    <w:p w14:paraId="016DCB11">
      <w:pPr>
        <w:jc w:val="center"/>
        <w:rPr>
          <w:rFonts w:eastAsia="楷体_GB2312"/>
          <w:b/>
          <w:sz w:val="32"/>
          <w:szCs w:val="32"/>
        </w:rPr>
      </w:pPr>
      <w:r>
        <w:rPr>
          <w:rFonts w:eastAsia="楷体_GB2312"/>
          <w:b/>
          <w:sz w:val="32"/>
          <w:szCs w:val="32"/>
        </w:rPr>
        <w:t>【信托名称】</w:t>
      </w:r>
    </w:p>
    <w:p w14:paraId="6C13EED7">
      <w:pPr>
        <w:jc w:val="center"/>
        <w:rPr>
          <w:rFonts w:eastAsia="楷体_GB2312"/>
          <w:b/>
          <w:sz w:val="44"/>
        </w:rPr>
      </w:pPr>
      <w:r>
        <w:rPr>
          <w:rFonts w:eastAsia="楷体_GB2312"/>
          <w:b/>
          <w:sz w:val="32"/>
          <w:szCs w:val="32"/>
        </w:rPr>
        <w:t>受托机构报告</w:t>
      </w:r>
    </w:p>
    <w:p w14:paraId="53BE99A1">
      <w:pPr>
        <w:jc w:val="center"/>
        <w:rPr>
          <w:rFonts w:eastAsia="楷体_GB2312"/>
          <w:b/>
          <w:sz w:val="32"/>
          <w:szCs w:val="32"/>
        </w:rPr>
      </w:pPr>
      <w:r>
        <w:rPr>
          <w:rFonts w:eastAsia="楷体_GB2312"/>
          <w:b/>
          <w:sz w:val="32"/>
          <w:szCs w:val="32"/>
        </w:rPr>
        <w:t>第XX期</w:t>
      </w:r>
    </w:p>
    <w:p w14:paraId="52188DAE">
      <w:pPr>
        <w:spacing w:line="360" w:lineRule="auto"/>
        <w:rPr>
          <w:rFonts w:eastAsia="楷体_GB2312"/>
          <w:b/>
          <w:sz w:val="44"/>
        </w:rPr>
      </w:pPr>
    </w:p>
    <w:p w14:paraId="13001E09">
      <w:pPr>
        <w:spacing w:line="360" w:lineRule="auto"/>
        <w:rPr>
          <w:rFonts w:eastAsia="楷体_GB2312"/>
          <w:b/>
          <w:color w:val="FF00FF"/>
        </w:rPr>
      </w:pPr>
    </w:p>
    <w:tbl>
      <w:tblPr>
        <w:tblStyle w:val="27"/>
        <w:tblW w:w="6360" w:type="dxa"/>
        <w:jc w:val="center"/>
        <w:tblLayout w:type="fixed"/>
        <w:tblCellMar>
          <w:top w:w="0" w:type="dxa"/>
          <w:left w:w="0" w:type="dxa"/>
          <w:bottom w:w="0" w:type="dxa"/>
          <w:right w:w="0" w:type="dxa"/>
        </w:tblCellMar>
      </w:tblPr>
      <w:tblGrid>
        <w:gridCol w:w="6360"/>
      </w:tblGrid>
      <w:tr w14:paraId="6A4EC3C7">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068D003C">
            <w:pPr>
              <w:rPr>
                <w:rFonts w:eastAsia="楷体_GB2312"/>
                <w:b/>
              </w:rPr>
            </w:pPr>
            <w:r>
              <w:rPr>
                <w:rFonts w:eastAsia="楷体_GB2312"/>
                <w:b/>
              </w:rPr>
              <w:t>受托人管理信托财产应恪尽职守，履行诚实、信用、谨慎、有效管理义务。依据信托合同规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6AB99C28">
      <w:pPr>
        <w:spacing w:line="360" w:lineRule="auto"/>
        <w:jc w:val="center"/>
        <w:rPr>
          <w:rFonts w:eastAsia="楷体_GB2312"/>
          <w:b/>
          <w:color w:val="FF00FF"/>
        </w:rPr>
      </w:pPr>
    </w:p>
    <w:p w14:paraId="6DA895D3">
      <w:pPr>
        <w:spacing w:line="360" w:lineRule="auto"/>
        <w:rPr>
          <w:rFonts w:eastAsia="楷体_GB2312"/>
          <w:sz w:val="32"/>
        </w:rPr>
      </w:pPr>
    </w:p>
    <w:tbl>
      <w:tblPr>
        <w:tblStyle w:val="27"/>
        <w:tblW w:w="7350" w:type="dxa"/>
        <w:jc w:val="center"/>
        <w:tblLayout w:type="fixed"/>
        <w:tblCellMar>
          <w:top w:w="0" w:type="dxa"/>
          <w:left w:w="0" w:type="dxa"/>
          <w:bottom w:w="0" w:type="dxa"/>
          <w:right w:w="0" w:type="dxa"/>
        </w:tblCellMar>
      </w:tblPr>
      <w:tblGrid>
        <w:gridCol w:w="1680"/>
        <w:gridCol w:w="5670"/>
      </w:tblGrid>
      <w:tr w14:paraId="30A6E8A6">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7788C40C">
            <w:pPr>
              <w:jc w:val="right"/>
              <w:rPr>
                <w:rFonts w:eastAsia="楷体_GB2312"/>
                <w:b/>
              </w:rPr>
            </w:pPr>
            <w:r>
              <w:rPr>
                <w:rFonts w:eastAsia="楷体_GB2312"/>
                <w:b/>
              </w:rPr>
              <w:t>受托人：</w:t>
            </w:r>
          </w:p>
        </w:tc>
        <w:tc>
          <w:tcPr>
            <w:tcW w:w="5670" w:type="dxa"/>
            <w:tcBorders>
              <w:top w:val="nil"/>
              <w:left w:val="nil"/>
              <w:bottom w:val="nil"/>
              <w:right w:val="nil"/>
            </w:tcBorders>
            <w:vAlign w:val="bottom"/>
          </w:tcPr>
          <w:p w14:paraId="54D5FF10">
            <w:pPr>
              <w:rPr>
                <w:rFonts w:eastAsia="楷体_GB2312"/>
                <w:b/>
              </w:rPr>
            </w:pPr>
            <w:r>
              <w:rPr>
                <w:rFonts w:eastAsia="楷体_GB2312"/>
                <w:b/>
              </w:rPr>
              <w:t>【受托机构全称】</w:t>
            </w:r>
          </w:p>
        </w:tc>
      </w:tr>
      <w:tr w14:paraId="56003115">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0E37E7FF">
            <w:pPr>
              <w:jc w:val="right"/>
              <w:rPr>
                <w:rFonts w:eastAsia="楷体_GB2312"/>
                <w:b/>
              </w:rPr>
            </w:pPr>
            <w:r>
              <w:rPr>
                <w:rFonts w:eastAsia="楷体_GB2312"/>
                <w:b/>
              </w:rPr>
              <w:t>报告日期：</w:t>
            </w:r>
          </w:p>
        </w:tc>
        <w:tc>
          <w:tcPr>
            <w:tcW w:w="5670" w:type="dxa"/>
            <w:tcBorders>
              <w:top w:val="nil"/>
              <w:left w:val="nil"/>
              <w:bottom w:val="nil"/>
              <w:right w:val="nil"/>
            </w:tcBorders>
            <w:vAlign w:val="bottom"/>
          </w:tcPr>
          <w:p w14:paraId="11CBE440">
            <w:pPr>
              <w:rPr>
                <w:rFonts w:eastAsia="楷体_GB2312"/>
                <w:b/>
              </w:rPr>
            </w:pPr>
            <w:r>
              <w:rPr>
                <w:rFonts w:eastAsia="楷体_GB2312"/>
                <w:b/>
              </w:rPr>
              <w:t>20XX年XX月XX日</w:t>
            </w:r>
          </w:p>
        </w:tc>
      </w:tr>
      <w:tr w14:paraId="4F85E6E9">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6067D78E">
            <w:pPr>
              <w:jc w:val="right"/>
              <w:rPr>
                <w:rFonts w:eastAsia="楷体_GB2312"/>
                <w:b/>
              </w:rPr>
            </w:pPr>
          </w:p>
        </w:tc>
        <w:tc>
          <w:tcPr>
            <w:tcW w:w="5670" w:type="dxa"/>
            <w:tcBorders>
              <w:top w:val="nil"/>
              <w:left w:val="nil"/>
              <w:bottom w:val="nil"/>
              <w:right w:val="nil"/>
            </w:tcBorders>
            <w:vAlign w:val="bottom"/>
          </w:tcPr>
          <w:p w14:paraId="0AC55621">
            <w:pPr>
              <w:rPr>
                <w:rFonts w:eastAsia="楷体_GB2312"/>
                <w:b/>
              </w:rPr>
            </w:pPr>
          </w:p>
        </w:tc>
      </w:tr>
      <w:tr w14:paraId="244B0E41">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EF857F4">
            <w:pPr>
              <w:jc w:val="right"/>
              <w:rPr>
                <w:rFonts w:eastAsia="楷体_GB2312"/>
                <w:b/>
              </w:rPr>
            </w:pPr>
          </w:p>
        </w:tc>
        <w:tc>
          <w:tcPr>
            <w:tcW w:w="5670" w:type="dxa"/>
            <w:tcBorders>
              <w:top w:val="nil"/>
              <w:left w:val="nil"/>
              <w:bottom w:val="nil"/>
              <w:right w:val="nil"/>
            </w:tcBorders>
            <w:vAlign w:val="bottom"/>
          </w:tcPr>
          <w:p w14:paraId="78530746">
            <w:pPr>
              <w:rPr>
                <w:rFonts w:eastAsia="楷体_GB2312"/>
                <w:b/>
              </w:rPr>
            </w:pPr>
          </w:p>
        </w:tc>
      </w:tr>
      <w:tr w14:paraId="33D149E7">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6E6E96F9">
            <w:pPr>
              <w:jc w:val="right"/>
              <w:rPr>
                <w:rFonts w:eastAsia="楷体_GB2312"/>
                <w:b/>
              </w:rPr>
            </w:pPr>
          </w:p>
        </w:tc>
        <w:tc>
          <w:tcPr>
            <w:tcW w:w="5670" w:type="dxa"/>
            <w:tcBorders>
              <w:top w:val="nil"/>
              <w:left w:val="nil"/>
              <w:bottom w:val="nil"/>
              <w:right w:val="nil"/>
            </w:tcBorders>
            <w:vAlign w:val="bottom"/>
          </w:tcPr>
          <w:p w14:paraId="23A2B39D">
            <w:pPr>
              <w:rPr>
                <w:rFonts w:eastAsia="楷体_GB2312"/>
                <w:b/>
              </w:rPr>
            </w:pPr>
          </w:p>
        </w:tc>
      </w:tr>
      <w:tr w14:paraId="68CDF1F1">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7F0D01C6">
            <w:pPr>
              <w:jc w:val="right"/>
              <w:rPr>
                <w:rFonts w:eastAsia="楷体_GB2312"/>
                <w:b/>
              </w:rPr>
            </w:pPr>
            <w:r>
              <w:rPr>
                <w:rFonts w:eastAsia="楷体_GB2312"/>
                <w:b/>
              </w:rPr>
              <w:t>受托人地址：</w:t>
            </w:r>
          </w:p>
        </w:tc>
        <w:tc>
          <w:tcPr>
            <w:tcW w:w="5670" w:type="dxa"/>
            <w:tcBorders>
              <w:top w:val="nil"/>
              <w:left w:val="nil"/>
              <w:bottom w:val="nil"/>
              <w:right w:val="nil"/>
            </w:tcBorders>
            <w:vAlign w:val="bottom"/>
          </w:tcPr>
          <w:p w14:paraId="310A077C">
            <w:pPr>
              <w:spacing w:line="380" w:lineRule="exact"/>
              <w:rPr>
                <w:rFonts w:eastAsia="楷体_GB2312"/>
              </w:rPr>
            </w:pPr>
          </w:p>
        </w:tc>
      </w:tr>
      <w:tr w14:paraId="09EC3F8B">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FC798D8">
            <w:pPr>
              <w:jc w:val="right"/>
              <w:rPr>
                <w:rFonts w:eastAsia="楷体_GB2312"/>
                <w:b/>
              </w:rPr>
            </w:pPr>
            <w:r>
              <w:rPr>
                <w:rFonts w:eastAsia="楷体_GB2312"/>
                <w:b/>
              </w:rPr>
              <w:t>电话：</w:t>
            </w:r>
          </w:p>
        </w:tc>
        <w:tc>
          <w:tcPr>
            <w:tcW w:w="5670" w:type="dxa"/>
            <w:tcBorders>
              <w:top w:val="nil"/>
              <w:left w:val="nil"/>
              <w:bottom w:val="nil"/>
              <w:right w:val="nil"/>
            </w:tcBorders>
            <w:vAlign w:val="bottom"/>
          </w:tcPr>
          <w:p w14:paraId="673F7EB1">
            <w:pPr>
              <w:rPr>
                <w:rFonts w:eastAsia="楷体_GB2312"/>
                <w:b/>
              </w:rPr>
            </w:pPr>
          </w:p>
        </w:tc>
      </w:tr>
      <w:tr w14:paraId="03504F0C">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474E78E9">
            <w:pPr>
              <w:jc w:val="right"/>
              <w:rPr>
                <w:rFonts w:eastAsia="楷体_GB2312"/>
                <w:b/>
              </w:rPr>
            </w:pPr>
            <w:r>
              <w:rPr>
                <w:rFonts w:eastAsia="楷体_GB2312"/>
                <w:b/>
              </w:rPr>
              <w:t>传真：</w:t>
            </w:r>
          </w:p>
        </w:tc>
        <w:tc>
          <w:tcPr>
            <w:tcW w:w="5670" w:type="dxa"/>
            <w:tcBorders>
              <w:top w:val="nil"/>
              <w:left w:val="nil"/>
              <w:bottom w:val="nil"/>
              <w:right w:val="nil"/>
            </w:tcBorders>
            <w:vAlign w:val="bottom"/>
          </w:tcPr>
          <w:p w14:paraId="28814C13">
            <w:pPr>
              <w:rPr>
                <w:rFonts w:eastAsia="楷体_GB2312"/>
                <w:b/>
              </w:rPr>
            </w:pPr>
          </w:p>
        </w:tc>
      </w:tr>
      <w:tr w14:paraId="000E8D21">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3AF5202E">
            <w:pPr>
              <w:jc w:val="right"/>
              <w:rPr>
                <w:rFonts w:eastAsia="楷体_GB2312"/>
                <w:b/>
              </w:rPr>
            </w:pPr>
            <w:r>
              <w:rPr>
                <w:rFonts w:eastAsia="楷体_GB2312"/>
                <w:b/>
              </w:rPr>
              <w:t>公司网址：</w:t>
            </w:r>
          </w:p>
        </w:tc>
        <w:tc>
          <w:tcPr>
            <w:tcW w:w="5670" w:type="dxa"/>
            <w:tcBorders>
              <w:top w:val="nil"/>
              <w:left w:val="nil"/>
              <w:bottom w:val="nil"/>
              <w:right w:val="nil"/>
            </w:tcBorders>
            <w:vAlign w:val="bottom"/>
          </w:tcPr>
          <w:p w14:paraId="68E04D9E">
            <w:pPr>
              <w:rPr>
                <w:rFonts w:eastAsia="楷体_GB2312"/>
                <w:b/>
              </w:rPr>
            </w:pPr>
          </w:p>
        </w:tc>
      </w:tr>
      <w:tr w14:paraId="7032554D">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948DF96">
            <w:pPr>
              <w:jc w:val="right"/>
              <w:rPr>
                <w:rFonts w:eastAsia="楷体_GB2312"/>
                <w:b/>
              </w:rPr>
            </w:pPr>
            <w:r>
              <w:rPr>
                <w:rFonts w:eastAsia="楷体_GB2312"/>
                <w:b/>
              </w:rPr>
              <w:t>电子邮件：</w:t>
            </w:r>
          </w:p>
        </w:tc>
        <w:tc>
          <w:tcPr>
            <w:tcW w:w="5670" w:type="dxa"/>
            <w:tcBorders>
              <w:top w:val="nil"/>
              <w:left w:val="nil"/>
              <w:bottom w:val="nil"/>
              <w:right w:val="nil"/>
            </w:tcBorders>
            <w:vAlign w:val="bottom"/>
          </w:tcPr>
          <w:p w14:paraId="0BB66AF8">
            <w:pPr>
              <w:rPr>
                <w:rFonts w:eastAsia="楷体_GB2312"/>
                <w:b/>
              </w:rPr>
            </w:pPr>
          </w:p>
        </w:tc>
      </w:tr>
    </w:tbl>
    <w:p w14:paraId="55FF676D">
      <w:pPr>
        <w:spacing w:line="360" w:lineRule="auto"/>
        <w:jc w:val="center"/>
        <w:rPr>
          <w:rFonts w:eastAsia="楷体_GB2312"/>
          <w:color w:val="FF00FF"/>
          <w:sz w:val="32"/>
        </w:rPr>
      </w:pPr>
    </w:p>
    <w:p w14:paraId="422FB590">
      <w:pPr>
        <w:rPr>
          <w:rFonts w:eastAsia="楷体_GB2312"/>
        </w:rPr>
      </w:pPr>
      <w:r>
        <w:rPr>
          <w:rFonts w:eastAsia="楷体_GB2312"/>
        </w:rPr>
        <w:br w:type="page"/>
      </w:r>
    </w:p>
    <w:tbl>
      <w:tblPr>
        <w:tblStyle w:val="27"/>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8"/>
        <w:gridCol w:w="6840"/>
        <w:gridCol w:w="900"/>
      </w:tblGrid>
      <w:tr w14:paraId="4B5B3B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68" w:type="dxa"/>
            <w:gridSpan w:val="3"/>
            <w:tcBorders>
              <w:bottom w:val="single" w:color="auto" w:sz="4" w:space="0"/>
            </w:tcBorders>
          </w:tcPr>
          <w:p w14:paraId="3B551D8B">
            <w:pPr>
              <w:jc w:val="center"/>
              <w:rPr>
                <w:rFonts w:eastAsia="楷体_GB2312"/>
                <w:b/>
              </w:rPr>
            </w:pPr>
            <w:r>
              <w:rPr>
                <w:rFonts w:eastAsia="楷体_GB2312"/>
                <w:b/>
                <w:sz w:val="28"/>
              </w:rPr>
              <w:t>【信托名称】受托机构报告</w:t>
            </w:r>
          </w:p>
        </w:tc>
      </w:tr>
      <w:tr w14:paraId="577BD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bottom w:val="nil"/>
            </w:tcBorders>
          </w:tcPr>
          <w:p w14:paraId="05FC2931">
            <w:pPr>
              <w:rPr>
                <w:rFonts w:eastAsia="楷体_GB2312"/>
              </w:rPr>
            </w:pPr>
          </w:p>
        </w:tc>
        <w:tc>
          <w:tcPr>
            <w:tcW w:w="6840" w:type="dxa"/>
            <w:tcBorders>
              <w:top w:val="single" w:color="auto" w:sz="4" w:space="0"/>
              <w:bottom w:val="nil"/>
            </w:tcBorders>
          </w:tcPr>
          <w:p w14:paraId="35C4FFB6">
            <w:pPr>
              <w:rPr>
                <w:rFonts w:eastAsia="楷体_GB2312"/>
                <w:color w:val="FFFFFF"/>
              </w:rPr>
            </w:pPr>
            <w:r>
              <w:rPr>
                <w:rFonts w:eastAsia="楷体_GB2312"/>
                <w:sz w:val="18"/>
              </w:rPr>
              <w:t>20XX年X月X日，经委托人【发起机构全称】设立、本公司承诺受托管理的“【信托名称】”依法成立。作为受托人，根据20XX年X月X日【发起机构全称】《【信托名称】贷款服务机构报告》、20XX年X月X日【资金保管机构全称】《资金保管报告》，本公司现向您报告本信托信托财产的管理、运用、处分及收益情况。本公司对本报告全部内容的真实性、准确性、完整性负责。</w:t>
            </w:r>
          </w:p>
        </w:tc>
        <w:tc>
          <w:tcPr>
            <w:tcW w:w="900" w:type="dxa"/>
            <w:tcBorders>
              <w:top w:val="single" w:color="auto" w:sz="4" w:space="0"/>
              <w:bottom w:val="nil"/>
            </w:tcBorders>
          </w:tcPr>
          <w:p w14:paraId="6192CAD2">
            <w:pPr>
              <w:rPr>
                <w:rFonts w:eastAsia="楷体_GB2312"/>
              </w:rPr>
            </w:pPr>
          </w:p>
        </w:tc>
      </w:tr>
      <w:tr w14:paraId="62DDCE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nil"/>
            </w:tcBorders>
          </w:tcPr>
          <w:p w14:paraId="44AAEEC2">
            <w:pPr>
              <w:rPr>
                <w:rFonts w:eastAsia="楷体_GB2312"/>
              </w:rPr>
            </w:pPr>
          </w:p>
        </w:tc>
        <w:tc>
          <w:tcPr>
            <w:tcW w:w="6840" w:type="dxa"/>
            <w:tcBorders>
              <w:top w:val="nil"/>
              <w:bottom w:val="nil"/>
            </w:tcBorders>
            <w:shd w:val="clear" w:color="auto" w:fill="C0C0C0"/>
          </w:tcPr>
          <w:p w14:paraId="6C9657AC">
            <w:pPr>
              <w:rPr>
                <w:rFonts w:eastAsia="楷体_GB2312"/>
                <w:b/>
              </w:rPr>
            </w:pPr>
            <w:r>
              <w:rPr>
                <w:rFonts w:eastAsia="楷体_GB2312"/>
                <w:b/>
              </w:rPr>
              <w:t>内容</w:t>
            </w:r>
          </w:p>
        </w:tc>
        <w:tc>
          <w:tcPr>
            <w:tcW w:w="900" w:type="dxa"/>
            <w:tcBorders>
              <w:top w:val="nil"/>
              <w:bottom w:val="nil"/>
            </w:tcBorders>
            <w:shd w:val="clear" w:color="auto" w:fill="C0C0C0"/>
          </w:tcPr>
          <w:p w14:paraId="5EAE6176">
            <w:pPr>
              <w:rPr>
                <w:rFonts w:eastAsia="楷体_GB2312"/>
                <w:b/>
              </w:rPr>
            </w:pPr>
            <w:r>
              <w:rPr>
                <w:rFonts w:eastAsia="楷体_GB2312"/>
                <w:b/>
              </w:rPr>
              <w:t>页码</w:t>
            </w:r>
          </w:p>
        </w:tc>
      </w:tr>
      <w:tr w14:paraId="761A8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725AF263">
            <w:pPr>
              <w:rPr>
                <w:rFonts w:eastAsia="楷体_GB2312"/>
              </w:rPr>
            </w:pPr>
          </w:p>
        </w:tc>
        <w:tc>
          <w:tcPr>
            <w:tcW w:w="6840" w:type="dxa"/>
            <w:tcBorders>
              <w:top w:val="nil"/>
            </w:tcBorders>
          </w:tcPr>
          <w:p w14:paraId="2611B36E">
            <w:pPr>
              <w:rPr>
                <w:rFonts w:eastAsia="楷体_GB2312"/>
                <w:color w:val="000000"/>
              </w:rPr>
            </w:pPr>
            <w:r>
              <w:rPr>
                <w:rFonts w:eastAsia="楷体_GB2312"/>
                <w:color w:val="000000"/>
              </w:rPr>
              <w:t>一、受托机构和证券化服务机构的名称、地址和联系方式</w:t>
            </w:r>
          </w:p>
          <w:p w14:paraId="101D595B">
            <w:pPr>
              <w:rPr>
                <w:rFonts w:eastAsia="楷体_GB2312"/>
                <w:color w:val="000000"/>
              </w:rPr>
            </w:pPr>
            <w:r>
              <w:rPr>
                <w:rFonts w:eastAsia="楷体_GB2312"/>
                <w:color w:val="000000"/>
              </w:rPr>
              <w:t>二、资产支持证券概况</w:t>
            </w:r>
          </w:p>
          <w:p w14:paraId="50F9BC18">
            <w:pPr>
              <w:rPr>
                <w:rFonts w:eastAsia="楷体_GB2312"/>
                <w:color w:val="000000"/>
              </w:rPr>
            </w:pPr>
            <w:r>
              <w:rPr>
                <w:rFonts w:eastAsia="楷体_GB2312"/>
                <w:color w:val="000000"/>
              </w:rPr>
              <w:t>三、资产池情况</w:t>
            </w:r>
          </w:p>
          <w:p w14:paraId="17B1BBDD">
            <w:pPr>
              <w:rPr>
                <w:rFonts w:eastAsia="楷体_GB2312"/>
                <w:color w:val="000000"/>
              </w:rPr>
            </w:pPr>
            <w:r>
              <w:rPr>
                <w:rFonts w:eastAsia="楷体_GB2312"/>
                <w:color w:val="000000"/>
              </w:rPr>
              <w:t>四、基础资产存续期总体信息</w:t>
            </w:r>
          </w:p>
          <w:p w14:paraId="1880CA48">
            <w:pPr>
              <w:rPr>
                <w:rFonts w:eastAsia="楷体_GB2312"/>
                <w:color w:val="000000"/>
              </w:rPr>
            </w:pPr>
            <w:r>
              <w:rPr>
                <w:rFonts w:eastAsia="楷体_GB2312"/>
                <w:color w:val="000000"/>
              </w:rPr>
              <w:t>五、基础资产存续期分布信息</w:t>
            </w:r>
          </w:p>
          <w:p w14:paraId="1FDCDA17">
            <w:pPr>
              <w:rPr>
                <w:rFonts w:eastAsia="楷体_GB2312"/>
                <w:color w:val="000000"/>
              </w:rPr>
            </w:pPr>
            <w:r>
              <w:rPr>
                <w:rFonts w:eastAsia="楷体_GB2312"/>
                <w:color w:val="000000"/>
              </w:rPr>
              <w:t>六、本期资产支持证券内外部信用增级情况</w:t>
            </w:r>
          </w:p>
          <w:p w14:paraId="76A76517">
            <w:pPr>
              <w:rPr>
                <w:rFonts w:eastAsia="楷体_GB2312"/>
                <w:color w:val="000000"/>
              </w:rPr>
            </w:pPr>
            <w:r>
              <w:rPr>
                <w:rFonts w:eastAsia="楷体_GB2312"/>
                <w:color w:val="000000"/>
              </w:rPr>
              <w:t>七、对证券化信托财产和信托事务管理产生重大影响的事项</w:t>
            </w:r>
          </w:p>
          <w:p w14:paraId="0EDE212A">
            <w:pPr>
              <w:rPr>
                <w:rFonts w:eastAsia="楷体_GB2312"/>
                <w:color w:val="000000"/>
              </w:rPr>
            </w:pPr>
            <w:r>
              <w:rPr>
                <w:rFonts w:eastAsia="楷体_GB2312"/>
                <w:color w:val="000000"/>
              </w:rPr>
              <w:t>八、其他重大事项报告</w:t>
            </w:r>
          </w:p>
          <w:p w14:paraId="7AAAFAD5">
            <w:pPr>
              <w:rPr>
                <w:rFonts w:eastAsia="楷体_GB2312"/>
                <w:color w:val="000000"/>
              </w:rPr>
            </w:pPr>
            <w:r>
              <w:rPr>
                <w:rFonts w:eastAsia="楷体_GB2312"/>
                <w:color w:val="000000"/>
              </w:rPr>
              <w:t>九、报告接收情况说明</w:t>
            </w:r>
          </w:p>
          <w:p w14:paraId="0C65AE86">
            <w:pPr>
              <w:rPr>
                <w:rFonts w:eastAsia="楷体_GB2312"/>
                <w:color w:val="000000"/>
              </w:rPr>
            </w:pPr>
            <w:r>
              <w:rPr>
                <w:rFonts w:eastAsia="楷体_GB2312"/>
                <w:color w:val="000000"/>
              </w:rPr>
              <w:t>十、差错更正说明</w:t>
            </w:r>
          </w:p>
          <w:p w14:paraId="33E508F2">
            <w:pPr>
              <w:rPr>
                <w:rFonts w:eastAsia="楷体_GB2312"/>
                <w:sz w:val="18"/>
              </w:rPr>
            </w:pPr>
            <w:r>
              <w:rPr>
                <w:rFonts w:eastAsia="楷体_GB2312"/>
                <w:color w:val="000000"/>
              </w:rPr>
              <w:t>十一、备查文件</w:t>
            </w:r>
          </w:p>
        </w:tc>
        <w:tc>
          <w:tcPr>
            <w:tcW w:w="900" w:type="dxa"/>
            <w:tcBorders>
              <w:top w:val="nil"/>
            </w:tcBorders>
          </w:tcPr>
          <w:p w14:paraId="74950394">
            <w:pPr>
              <w:rPr>
                <w:rFonts w:eastAsia="楷体_GB2312"/>
              </w:rPr>
            </w:pPr>
          </w:p>
          <w:p w14:paraId="13B7328A">
            <w:pPr>
              <w:rPr>
                <w:rFonts w:eastAsia="楷体_GB2312"/>
              </w:rPr>
            </w:pPr>
          </w:p>
        </w:tc>
      </w:tr>
      <w:tr w14:paraId="019C5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7405EA5B">
            <w:pPr>
              <w:rPr>
                <w:rFonts w:eastAsia="楷体_GB2312"/>
              </w:rPr>
            </w:pPr>
          </w:p>
        </w:tc>
        <w:tc>
          <w:tcPr>
            <w:tcW w:w="6840" w:type="dxa"/>
          </w:tcPr>
          <w:p w14:paraId="21FCAC75">
            <w:pPr>
              <w:rPr>
                <w:rFonts w:eastAsia="楷体_GB2312"/>
              </w:rPr>
            </w:pPr>
          </w:p>
        </w:tc>
        <w:tc>
          <w:tcPr>
            <w:tcW w:w="900" w:type="dxa"/>
          </w:tcPr>
          <w:p w14:paraId="7570C0AB">
            <w:pPr>
              <w:rPr>
                <w:rFonts w:eastAsia="楷体_GB2312"/>
              </w:rPr>
            </w:pPr>
          </w:p>
        </w:tc>
      </w:tr>
      <w:tr w14:paraId="36CF99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Pr>
          <w:p w14:paraId="66564B6A">
            <w:pPr>
              <w:rPr>
                <w:rFonts w:eastAsia="楷体_GB2312"/>
                <w:sz w:val="18"/>
              </w:rPr>
            </w:pPr>
            <w:r>
              <w:rPr>
                <w:rFonts w:eastAsia="楷体_GB2312"/>
                <w:sz w:val="18"/>
              </w:rPr>
              <w:t>注：</w:t>
            </w:r>
          </w:p>
        </w:tc>
        <w:tc>
          <w:tcPr>
            <w:tcW w:w="6840" w:type="dxa"/>
          </w:tcPr>
          <w:p w14:paraId="179802C5">
            <w:pPr>
              <w:rPr>
                <w:rFonts w:eastAsia="楷体_GB2312"/>
                <w:sz w:val="18"/>
              </w:rPr>
            </w:pPr>
            <w:r>
              <w:rPr>
                <w:rFonts w:eastAsia="楷体_GB2312"/>
                <w:sz w:val="18"/>
              </w:rPr>
              <w:t>1.本报告内容在以下</w:t>
            </w:r>
            <w:r>
              <w:rPr>
                <w:rFonts w:hint="eastAsia" w:eastAsia="楷体_GB2312"/>
                <w:sz w:val="18"/>
              </w:rPr>
              <w:t>渠道</w:t>
            </w:r>
            <w:r>
              <w:rPr>
                <w:rFonts w:eastAsia="楷体_GB2312"/>
                <w:sz w:val="18"/>
              </w:rPr>
              <w:t>披露：</w:t>
            </w:r>
            <w:r>
              <w:rPr>
                <w:rFonts w:eastAsia="楷体_GB2312"/>
                <w:color w:val="000000"/>
                <w:sz w:val="18"/>
                <w:szCs w:val="18"/>
              </w:rPr>
              <w:t>交易商协会综合业务和信息服务平台、中国货币网、中国债券信息网、北金所官方网站及交易商协会认可的其他方式</w:t>
            </w:r>
            <w:r>
              <w:rPr>
                <w:rFonts w:eastAsia="楷体_GB2312"/>
                <w:sz w:val="18"/>
              </w:rPr>
              <w:t>。</w:t>
            </w:r>
          </w:p>
          <w:p w14:paraId="3DAEF5AA">
            <w:pPr>
              <w:rPr>
                <w:rFonts w:eastAsia="楷体_GB2312"/>
                <w:sz w:val="18"/>
              </w:rPr>
            </w:pPr>
            <w:r>
              <w:rPr>
                <w:rFonts w:eastAsia="楷体_GB2312"/>
                <w:sz w:val="18"/>
              </w:rPr>
              <w:t>2.本报告内容根据贷款服务机构报告、资金保管报告等报告内容编制。</w:t>
            </w:r>
          </w:p>
          <w:p w14:paraId="7C135A23">
            <w:pPr>
              <w:rPr>
                <w:rFonts w:eastAsia="楷体_GB2312"/>
                <w:sz w:val="18"/>
              </w:rPr>
            </w:pPr>
            <w:r>
              <w:rPr>
                <w:rFonts w:eastAsia="楷体_GB2312"/>
                <w:sz w:val="18"/>
              </w:rPr>
              <w:t>3.本报告金额单位均以人民币元计。</w:t>
            </w:r>
          </w:p>
          <w:p w14:paraId="0D75F9B0">
            <w:pPr>
              <w:rPr>
                <w:rFonts w:eastAsia="楷体_GB2312"/>
              </w:rPr>
            </w:pPr>
            <w:r>
              <w:rPr>
                <w:rFonts w:eastAsia="楷体_GB2312"/>
                <w:sz w:val="18"/>
              </w:rPr>
              <w:t>4.收款期间为:----年--月--日至----年--月--日</w:t>
            </w:r>
          </w:p>
        </w:tc>
        <w:tc>
          <w:tcPr>
            <w:tcW w:w="900" w:type="dxa"/>
          </w:tcPr>
          <w:p w14:paraId="01F889EA">
            <w:pPr>
              <w:rPr>
                <w:rFonts w:eastAsia="楷体_GB2312"/>
              </w:rPr>
            </w:pPr>
          </w:p>
        </w:tc>
      </w:tr>
    </w:tbl>
    <w:p w14:paraId="55442FEA">
      <w:pPr>
        <w:rPr>
          <w:rFonts w:eastAsia="楷体_GB2312"/>
        </w:rPr>
      </w:pPr>
    </w:p>
    <w:p w14:paraId="33EF10BB">
      <w:pPr>
        <w:rPr>
          <w:rFonts w:eastAsia="楷体_GB2312"/>
        </w:rPr>
      </w:pPr>
      <w:r>
        <w:rPr>
          <w:rFonts w:eastAsia="楷体_GB2312"/>
        </w:rPr>
        <w:br w:type="page"/>
      </w:r>
    </w:p>
    <w:tbl>
      <w:tblPr>
        <w:tblStyle w:val="27"/>
        <w:tblW w:w="85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3"/>
        <w:gridCol w:w="2542"/>
        <w:gridCol w:w="2567"/>
        <w:gridCol w:w="1704"/>
      </w:tblGrid>
      <w:tr w14:paraId="3D1A4D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bottom w:val="single" w:color="auto" w:sz="4" w:space="0"/>
            </w:tcBorders>
          </w:tcPr>
          <w:p w14:paraId="75619EE9">
            <w:pPr>
              <w:jc w:val="center"/>
              <w:rPr>
                <w:rFonts w:eastAsia="楷体_GB2312"/>
                <w:b/>
                <w:sz w:val="28"/>
              </w:rPr>
            </w:pPr>
            <w:r>
              <w:rPr>
                <w:rFonts w:eastAsia="楷体_GB2312"/>
                <w:b/>
                <w:sz w:val="28"/>
              </w:rPr>
              <w:t>【信托名称】受托机构报告</w:t>
            </w:r>
          </w:p>
        </w:tc>
      </w:tr>
      <w:tr w14:paraId="348ABC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16" w:type="dxa"/>
            <w:gridSpan w:val="4"/>
            <w:tcBorders>
              <w:top w:val="single" w:color="auto" w:sz="4" w:space="0"/>
              <w:bottom w:val="nil"/>
            </w:tcBorders>
          </w:tcPr>
          <w:p w14:paraId="3523AC03">
            <w:pPr>
              <w:rPr>
                <w:rFonts w:eastAsia="楷体_GB2312"/>
                <w:b/>
              </w:rPr>
            </w:pPr>
            <w:r>
              <w:rPr>
                <w:rFonts w:eastAsia="楷体_GB2312"/>
                <w:b/>
              </w:rPr>
              <w:t>一、受托人和证券化服务机构的名称、地址和联系方式</w:t>
            </w:r>
          </w:p>
        </w:tc>
      </w:tr>
      <w:tr w14:paraId="540E2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bottom w:val="nil"/>
            </w:tcBorders>
          </w:tcPr>
          <w:p w14:paraId="49769936">
            <w:pPr>
              <w:rPr>
                <w:rFonts w:eastAsia="楷体_GB2312"/>
                <w:b/>
              </w:rPr>
            </w:pPr>
          </w:p>
        </w:tc>
        <w:tc>
          <w:tcPr>
            <w:tcW w:w="2542" w:type="dxa"/>
            <w:tcBorders>
              <w:top w:val="nil"/>
              <w:bottom w:val="nil"/>
            </w:tcBorders>
            <w:shd w:val="clear" w:color="auto" w:fill="C0C0C0"/>
          </w:tcPr>
          <w:p w14:paraId="65E09990">
            <w:pPr>
              <w:rPr>
                <w:rFonts w:eastAsia="楷体_GB2312"/>
                <w:b/>
              </w:rPr>
            </w:pPr>
            <w:r>
              <w:rPr>
                <w:rFonts w:eastAsia="楷体_GB2312"/>
                <w:b/>
              </w:rPr>
              <w:t>名称</w:t>
            </w:r>
          </w:p>
        </w:tc>
        <w:tc>
          <w:tcPr>
            <w:tcW w:w="2567" w:type="dxa"/>
            <w:tcBorders>
              <w:top w:val="nil"/>
              <w:bottom w:val="nil"/>
            </w:tcBorders>
            <w:shd w:val="clear" w:color="auto" w:fill="C0C0C0"/>
          </w:tcPr>
          <w:p w14:paraId="74700732">
            <w:pPr>
              <w:rPr>
                <w:rFonts w:eastAsia="楷体_GB2312"/>
                <w:b/>
              </w:rPr>
            </w:pPr>
            <w:r>
              <w:rPr>
                <w:rFonts w:eastAsia="楷体_GB2312"/>
                <w:b/>
              </w:rPr>
              <w:t>地址</w:t>
            </w:r>
          </w:p>
        </w:tc>
        <w:tc>
          <w:tcPr>
            <w:tcW w:w="1704" w:type="dxa"/>
            <w:tcBorders>
              <w:top w:val="nil"/>
              <w:bottom w:val="nil"/>
            </w:tcBorders>
            <w:shd w:val="clear" w:color="auto" w:fill="C0C0C0"/>
          </w:tcPr>
          <w:p w14:paraId="08D0F9DC">
            <w:pPr>
              <w:rPr>
                <w:rFonts w:eastAsia="楷体_GB2312"/>
                <w:b/>
              </w:rPr>
            </w:pPr>
            <w:r>
              <w:rPr>
                <w:rFonts w:eastAsia="楷体_GB2312"/>
                <w:b/>
              </w:rPr>
              <w:t>联系电话</w:t>
            </w:r>
          </w:p>
        </w:tc>
      </w:tr>
      <w:tr w14:paraId="204D21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Borders>
              <w:top w:val="nil"/>
            </w:tcBorders>
          </w:tcPr>
          <w:p w14:paraId="3E11AE50">
            <w:pPr>
              <w:rPr>
                <w:rFonts w:eastAsia="楷体_GB2312"/>
                <w:sz w:val="18"/>
              </w:rPr>
            </w:pPr>
            <w:r>
              <w:rPr>
                <w:rFonts w:eastAsia="楷体_GB2312"/>
                <w:sz w:val="18"/>
              </w:rPr>
              <w:t>受托人</w:t>
            </w:r>
          </w:p>
          <w:p w14:paraId="47590077">
            <w:pPr>
              <w:rPr>
                <w:rFonts w:eastAsia="楷体_GB2312"/>
                <w:sz w:val="18"/>
              </w:rPr>
            </w:pPr>
          </w:p>
        </w:tc>
        <w:tc>
          <w:tcPr>
            <w:tcW w:w="2542" w:type="dxa"/>
            <w:tcBorders>
              <w:top w:val="nil"/>
            </w:tcBorders>
          </w:tcPr>
          <w:p w14:paraId="3C73A10F">
            <w:pPr>
              <w:rPr>
                <w:rFonts w:eastAsia="楷体_GB2312"/>
                <w:sz w:val="18"/>
              </w:rPr>
            </w:pPr>
            <w:r>
              <w:rPr>
                <w:rFonts w:eastAsia="楷体_GB2312"/>
                <w:sz w:val="18"/>
              </w:rPr>
              <w:t>【受托机构全称】</w:t>
            </w:r>
          </w:p>
        </w:tc>
        <w:tc>
          <w:tcPr>
            <w:tcW w:w="2567" w:type="dxa"/>
            <w:tcBorders>
              <w:top w:val="nil"/>
            </w:tcBorders>
          </w:tcPr>
          <w:p w14:paraId="3AF68F65">
            <w:pPr>
              <w:jc w:val="center"/>
              <w:rPr>
                <w:rFonts w:eastAsia="楷体_GB2312"/>
                <w:sz w:val="18"/>
              </w:rPr>
            </w:pPr>
          </w:p>
        </w:tc>
        <w:tc>
          <w:tcPr>
            <w:tcW w:w="1704" w:type="dxa"/>
            <w:tcBorders>
              <w:top w:val="nil"/>
            </w:tcBorders>
          </w:tcPr>
          <w:p w14:paraId="1FE7F274">
            <w:pPr>
              <w:jc w:val="center"/>
              <w:rPr>
                <w:rFonts w:eastAsia="楷体_GB2312"/>
                <w:sz w:val="18"/>
              </w:rPr>
            </w:pPr>
          </w:p>
        </w:tc>
      </w:tr>
      <w:tr w14:paraId="62D4D7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49F92864">
            <w:pPr>
              <w:rPr>
                <w:rFonts w:eastAsia="楷体_GB2312"/>
                <w:sz w:val="18"/>
              </w:rPr>
            </w:pPr>
            <w:r>
              <w:rPr>
                <w:rFonts w:eastAsia="楷体_GB2312"/>
                <w:sz w:val="18"/>
              </w:rPr>
              <w:t>贷款服务机构</w:t>
            </w:r>
          </w:p>
          <w:p w14:paraId="768F6129">
            <w:pPr>
              <w:rPr>
                <w:rFonts w:eastAsia="楷体_GB2312"/>
                <w:sz w:val="18"/>
              </w:rPr>
            </w:pPr>
          </w:p>
        </w:tc>
        <w:tc>
          <w:tcPr>
            <w:tcW w:w="2542" w:type="dxa"/>
          </w:tcPr>
          <w:p w14:paraId="758F641E">
            <w:pPr>
              <w:rPr>
                <w:rFonts w:eastAsia="楷体_GB2312"/>
                <w:sz w:val="18"/>
              </w:rPr>
            </w:pPr>
            <w:r>
              <w:rPr>
                <w:rFonts w:eastAsia="楷体_GB2312"/>
                <w:sz w:val="18"/>
              </w:rPr>
              <w:t>【发起机构全称】</w:t>
            </w:r>
          </w:p>
        </w:tc>
        <w:tc>
          <w:tcPr>
            <w:tcW w:w="2567" w:type="dxa"/>
          </w:tcPr>
          <w:p w14:paraId="1900C76A">
            <w:pPr>
              <w:rPr>
                <w:rFonts w:eastAsia="楷体_GB2312"/>
                <w:sz w:val="18"/>
              </w:rPr>
            </w:pPr>
          </w:p>
        </w:tc>
        <w:tc>
          <w:tcPr>
            <w:tcW w:w="1704" w:type="dxa"/>
          </w:tcPr>
          <w:p w14:paraId="4DEEF25E">
            <w:pPr>
              <w:rPr>
                <w:rFonts w:eastAsia="楷体_GB2312"/>
                <w:sz w:val="18"/>
              </w:rPr>
            </w:pPr>
          </w:p>
        </w:tc>
      </w:tr>
      <w:tr w14:paraId="562B1C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A51355F">
            <w:pPr>
              <w:rPr>
                <w:rFonts w:eastAsia="楷体_GB2312"/>
                <w:sz w:val="18"/>
              </w:rPr>
            </w:pPr>
            <w:r>
              <w:rPr>
                <w:rFonts w:eastAsia="楷体_GB2312"/>
                <w:sz w:val="18"/>
              </w:rPr>
              <w:t>资金保管机构</w:t>
            </w:r>
          </w:p>
          <w:p w14:paraId="38792F91">
            <w:pPr>
              <w:rPr>
                <w:rFonts w:eastAsia="楷体_GB2312"/>
                <w:sz w:val="18"/>
              </w:rPr>
            </w:pPr>
          </w:p>
        </w:tc>
        <w:tc>
          <w:tcPr>
            <w:tcW w:w="2542" w:type="dxa"/>
          </w:tcPr>
          <w:p w14:paraId="1C228E0B">
            <w:pPr>
              <w:rPr>
                <w:rFonts w:eastAsia="楷体_GB2312"/>
                <w:sz w:val="18"/>
              </w:rPr>
            </w:pPr>
            <w:r>
              <w:rPr>
                <w:rFonts w:eastAsia="楷体_GB2312"/>
                <w:sz w:val="18"/>
              </w:rPr>
              <w:t>【资金保管机构全称】</w:t>
            </w:r>
          </w:p>
        </w:tc>
        <w:tc>
          <w:tcPr>
            <w:tcW w:w="2567" w:type="dxa"/>
          </w:tcPr>
          <w:p w14:paraId="74AFF098">
            <w:pPr>
              <w:rPr>
                <w:rFonts w:eastAsia="楷体_GB2312"/>
                <w:sz w:val="18"/>
              </w:rPr>
            </w:pPr>
          </w:p>
        </w:tc>
        <w:tc>
          <w:tcPr>
            <w:tcW w:w="1704" w:type="dxa"/>
          </w:tcPr>
          <w:p w14:paraId="1CADE4B1">
            <w:pPr>
              <w:rPr>
                <w:rFonts w:eastAsia="楷体_GB2312"/>
                <w:sz w:val="18"/>
              </w:rPr>
            </w:pPr>
          </w:p>
        </w:tc>
      </w:tr>
      <w:tr w14:paraId="16C82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4EEA03E0">
            <w:pPr>
              <w:rPr>
                <w:rFonts w:eastAsia="楷体_GB2312"/>
                <w:sz w:val="18"/>
              </w:rPr>
            </w:pPr>
            <w:r>
              <w:rPr>
                <w:rFonts w:eastAsia="楷体_GB2312"/>
                <w:sz w:val="18"/>
              </w:rPr>
              <w:t>登记托管机构</w:t>
            </w:r>
          </w:p>
          <w:p w14:paraId="02A387EA">
            <w:pPr>
              <w:rPr>
                <w:rFonts w:eastAsia="楷体_GB2312"/>
                <w:sz w:val="18"/>
              </w:rPr>
            </w:pPr>
          </w:p>
        </w:tc>
        <w:tc>
          <w:tcPr>
            <w:tcW w:w="2542" w:type="dxa"/>
          </w:tcPr>
          <w:p w14:paraId="56A1BFD3">
            <w:pPr>
              <w:rPr>
                <w:rFonts w:eastAsia="楷体_GB2312"/>
                <w:sz w:val="18"/>
              </w:rPr>
            </w:pPr>
          </w:p>
        </w:tc>
        <w:tc>
          <w:tcPr>
            <w:tcW w:w="2567" w:type="dxa"/>
          </w:tcPr>
          <w:p w14:paraId="1648D4C1">
            <w:pPr>
              <w:rPr>
                <w:rFonts w:eastAsia="楷体_GB2312"/>
                <w:sz w:val="18"/>
              </w:rPr>
            </w:pPr>
          </w:p>
        </w:tc>
        <w:tc>
          <w:tcPr>
            <w:tcW w:w="1704" w:type="dxa"/>
          </w:tcPr>
          <w:p w14:paraId="0316A517">
            <w:pPr>
              <w:rPr>
                <w:rFonts w:eastAsia="楷体_GB2312"/>
                <w:sz w:val="18"/>
              </w:rPr>
            </w:pPr>
          </w:p>
        </w:tc>
      </w:tr>
      <w:tr w14:paraId="4189E3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03" w:type="dxa"/>
          </w:tcPr>
          <w:p w14:paraId="178ABF40">
            <w:pPr>
              <w:rPr>
                <w:rFonts w:eastAsia="楷体_GB2312"/>
                <w:sz w:val="18"/>
              </w:rPr>
            </w:pPr>
            <w:r>
              <w:rPr>
                <w:rFonts w:eastAsia="楷体_GB2312"/>
                <w:sz w:val="18"/>
              </w:rPr>
              <w:t>支付代理机构</w:t>
            </w:r>
          </w:p>
        </w:tc>
        <w:tc>
          <w:tcPr>
            <w:tcW w:w="2542" w:type="dxa"/>
          </w:tcPr>
          <w:p w14:paraId="40D7C09C">
            <w:pPr>
              <w:rPr>
                <w:rFonts w:eastAsia="楷体_GB2312"/>
                <w:sz w:val="18"/>
              </w:rPr>
            </w:pPr>
          </w:p>
        </w:tc>
        <w:tc>
          <w:tcPr>
            <w:tcW w:w="2567" w:type="dxa"/>
          </w:tcPr>
          <w:p w14:paraId="3004E9A7">
            <w:pPr>
              <w:rPr>
                <w:rFonts w:eastAsia="楷体_GB2312"/>
                <w:sz w:val="18"/>
              </w:rPr>
            </w:pPr>
          </w:p>
        </w:tc>
        <w:tc>
          <w:tcPr>
            <w:tcW w:w="1704" w:type="dxa"/>
          </w:tcPr>
          <w:p w14:paraId="4784825C">
            <w:pPr>
              <w:rPr>
                <w:rFonts w:eastAsia="楷体_GB2312"/>
                <w:sz w:val="18"/>
              </w:rPr>
            </w:pPr>
          </w:p>
        </w:tc>
      </w:tr>
    </w:tbl>
    <w:p w14:paraId="61E2FA89">
      <w:pPr>
        <w:rPr>
          <w:rFonts w:eastAsia="楷体_GB2312"/>
        </w:rPr>
      </w:pPr>
      <w:r>
        <w:rPr>
          <w:rFonts w:eastAsia="楷体_GB2312"/>
        </w:rPr>
        <w:br w:type="page"/>
      </w:r>
    </w:p>
    <w:tbl>
      <w:tblPr>
        <w:tblStyle w:val="27"/>
        <w:tblW w:w="81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05"/>
        <w:gridCol w:w="5783"/>
      </w:tblGrid>
      <w:tr w14:paraId="601946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188" w:type="dxa"/>
            <w:gridSpan w:val="2"/>
            <w:tcBorders>
              <w:bottom w:val="single" w:color="auto" w:sz="4" w:space="0"/>
            </w:tcBorders>
          </w:tcPr>
          <w:p w14:paraId="5BB23E9F">
            <w:pPr>
              <w:jc w:val="center"/>
              <w:rPr>
                <w:rFonts w:eastAsia="楷体_GB2312"/>
                <w:b/>
                <w:sz w:val="28"/>
              </w:rPr>
            </w:pPr>
            <w:r>
              <w:rPr>
                <w:rFonts w:eastAsia="楷体_GB2312"/>
                <w:b/>
                <w:sz w:val="28"/>
              </w:rPr>
              <w:t>【信托名称】受托机构报告</w:t>
            </w:r>
          </w:p>
        </w:tc>
      </w:tr>
      <w:tr w14:paraId="17602B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188" w:type="dxa"/>
            <w:gridSpan w:val="2"/>
            <w:tcBorders>
              <w:top w:val="single" w:color="auto" w:sz="4" w:space="0"/>
              <w:bottom w:val="nil"/>
            </w:tcBorders>
          </w:tcPr>
          <w:p w14:paraId="44AC0C49">
            <w:pPr>
              <w:rPr>
                <w:rFonts w:eastAsia="楷体_GB2312"/>
                <w:b/>
              </w:rPr>
            </w:pPr>
            <w:r>
              <w:rPr>
                <w:rFonts w:eastAsia="楷体_GB2312"/>
                <w:b/>
              </w:rPr>
              <w:t>二、资产支持证券概况</w:t>
            </w:r>
          </w:p>
        </w:tc>
      </w:tr>
      <w:tr w14:paraId="371F29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188" w:type="dxa"/>
            <w:gridSpan w:val="2"/>
            <w:tcBorders>
              <w:bottom w:val="single" w:color="auto" w:sz="4" w:space="0"/>
            </w:tcBorders>
          </w:tcPr>
          <w:p w14:paraId="5F6FE04C">
            <w:pPr>
              <w:ind w:firstLine="420" w:firstLineChars="200"/>
              <w:rPr>
                <w:rFonts w:eastAsia="楷体_GB2312"/>
              </w:rPr>
            </w:pPr>
            <w:r>
              <w:rPr>
                <w:rFonts w:eastAsia="楷体_GB2312"/>
              </w:rPr>
              <w:t>（一）资产支持证券日期概况</w:t>
            </w:r>
          </w:p>
          <w:p w14:paraId="61FCB7AC">
            <w:pPr>
              <w:ind w:firstLine="422" w:firstLineChars="200"/>
              <w:rPr>
                <w:rFonts w:eastAsia="楷体_GB2312"/>
                <w:b/>
              </w:rPr>
            </w:pPr>
          </w:p>
        </w:tc>
      </w:tr>
      <w:tr w14:paraId="02B091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405" w:type="dxa"/>
            <w:tcBorders>
              <w:top w:val="single" w:color="auto" w:sz="4" w:space="0"/>
              <w:bottom w:val="single" w:color="auto" w:sz="4" w:space="0"/>
              <w:right w:val="single" w:color="auto" w:sz="4" w:space="0"/>
            </w:tcBorders>
            <w:vAlign w:val="center"/>
          </w:tcPr>
          <w:p w14:paraId="417BD8E6">
            <w:pPr>
              <w:ind w:firstLine="360" w:firstLineChars="200"/>
              <w:rPr>
                <w:rFonts w:eastAsia="楷体_GB2312"/>
              </w:rPr>
            </w:pPr>
            <w:r>
              <w:rPr>
                <w:rFonts w:eastAsia="楷体_GB2312"/>
                <w:sz w:val="18"/>
                <w:szCs w:val="18"/>
              </w:rPr>
              <w:t>信托生效日</w:t>
            </w:r>
          </w:p>
        </w:tc>
        <w:tc>
          <w:tcPr>
            <w:tcW w:w="5783" w:type="dxa"/>
            <w:tcBorders>
              <w:top w:val="single" w:color="auto" w:sz="4" w:space="0"/>
              <w:left w:val="single" w:color="auto" w:sz="4" w:space="0"/>
              <w:bottom w:val="single" w:color="auto" w:sz="4" w:space="0"/>
            </w:tcBorders>
          </w:tcPr>
          <w:p w14:paraId="473CCDD0">
            <w:pPr>
              <w:ind w:firstLine="420" w:firstLineChars="200"/>
              <w:rPr>
                <w:rFonts w:eastAsia="楷体_GB2312"/>
              </w:rPr>
            </w:pPr>
          </w:p>
        </w:tc>
      </w:tr>
      <w:tr w14:paraId="1C2E1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2405" w:type="dxa"/>
            <w:tcBorders>
              <w:top w:val="single" w:color="auto" w:sz="4" w:space="0"/>
              <w:bottom w:val="single" w:color="auto" w:sz="4" w:space="0"/>
              <w:right w:val="single" w:color="auto" w:sz="4" w:space="0"/>
            </w:tcBorders>
            <w:vAlign w:val="center"/>
          </w:tcPr>
          <w:p w14:paraId="4AD3A5B9">
            <w:pPr>
              <w:ind w:firstLine="360" w:firstLineChars="200"/>
              <w:rPr>
                <w:rFonts w:eastAsia="楷体_GB2312"/>
                <w:b/>
              </w:rPr>
            </w:pPr>
            <w:r>
              <w:rPr>
                <w:rFonts w:eastAsia="楷体_GB2312"/>
                <w:sz w:val="18"/>
                <w:szCs w:val="18"/>
              </w:rPr>
              <w:t>本期期初日</w:t>
            </w:r>
          </w:p>
        </w:tc>
        <w:tc>
          <w:tcPr>
            <w:tcW w:w="5783" w:type="dxa"/>
            <w:tcBorders>
              <w:top w:val="single" w:color="auto" w:sz="4" w:space="0"/>
              <w:left w:val="single" w:color="auto" w:sz="4" w:space="0"/>
              <w:bottom w:val="single" w:color="auto" w:sz="4" w:space="0"/>
            </w:tcBorders>
          </w:tcPr>
          <w:p w14:paraId="34898E8A">
            <w:pPr>
              <w:ind w:firstLine="422" w:firstLineChars="200"/>
              <w:rPr>
                <w:rFonts w:eastAsia="楷体_GB2312"/>
                <w:b/>
              </w:rPr>
            </w:pPr>
          </w:p>
        </w:tc>
      </w:tr>
      <w:tr w14:paraId="14B3E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2405" w:type="dxa"/>
            <w:tcBorders>
              <w:top w:val="single" w:color="auto" w:sz="4" w:space="0"/>
              <w:bottom w:val="single" w:color="auto" w:sz="4" w:space="0"/>
              <w:right w:val="single" w:color="auto" w:sz="4" w:space="0"/>
            </w:tcBorders>
            <w:vAlign w:val="center"/>
          </w:tcPr>
          <w:p w14:paraId="2F327749">
            <w:pPr>
              <w:ind w:firstLine="360" w:firstLineChars="200"/>
              <w:rPr>
                <w:rFonts w:eastAsia="楷体_GB2312"/>
                <w:b/>
              </w:rPr>
            </w:pPr>
            <w:r>
              <w:rPr>
                <w:rFonts w:eastAsia="楷体_GB2312"/>
                <w:sz w:val="18"/>
                <w:szCs w:val="18"/>
              </w:rPr>
              <w:t>本期期末日</w:t>
            </w:r>
          </w:p>
        </w:tc>
        <w:tc>
          <w:tcPr>
            <w:tcW w:w="5783" w:type="dxa"/>
            <w:tcBorders>
              <w:top w:val="single" w:color="auto" w:sz="4" w:space="0"/>
              <w:left w:val="single" w:color="auto" w:sz="4" w:space="0"/>
              <w:bottom w:val="single" w:color="auto" w:sz="4" w:space="0"/>
            </w:tcBorders>
          </w:tcPr>
          <w:p w14:paraId="3E1708A8">
            <w:pPr>
              <w:ind w:firstLine="422" w:firstLineChars="200"/>
              <w:rPr>
                <w:rFonts w:eastAsia="楷体_GB2312"/>
                <w:b/>
              </w:rPr>
            </w:pPr>
          </w:p>
        </w:tc>
      </w:tr>
      <w:tr w14:paraId="316CB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1" w:hRule="atLeast"/>
        </w:trPr>
        <w:tc>
          <w:tcPr>
            <w:tcW w:w="2405" w:type="dxa"/>
            <w:tcBorders>
              <w:top w:val="single" w:color="auto" w:sz="4" w:space="0"/>
              <w:bottom w:val="single" w:color="auto" w:sz="4" w:space="0"/>
              <w:right w:val="single" w:color="auto" w:sz="4" w:space="0"/>
            </w:tcBorders>
            <w:vAlign w:val="center"/>
          </w:tcPr>
          <w:p w14:paraId="549AE14C">
            <w:pPr>
              <w:ind w:firstLine="360" w:firstLineChars="200"/>
              <w:rPr>
                <w:rFonts w:eastAsia="楷体_GB2312"/>
                <w:b/>
              </w:rPr>
            </w:pPr>
            <w:r>
              <w:rPr>
                <w:rFonts w:eastAsia="楷体_GB2312"/>
                <w:sz w:val="18"/>
                <w:szCs w:val="18"/>
              </w:rPr>
              <w:t>计息方式</w:t>
            </w:r>
          </w:p>
        </w:tc>
        <w:tc>
          <w:tcPr>
            <w:tcW w:w="5783" w:type="dxa"/>
            <w:tcBorders>
              <w:top w:val="single" w:color="auto" w:sz="4" w:space="0"/>
              <w:left w:val="single" w:color="auto" w:sz="4" w:space="0"/>
              <w:bottom w:val="single" w:color="auto" w:sz="4" w:space="0"/>
            </w:tcBorders>
          </w:tcPr>
          <w:p w14:paraId="54C1FF51">
            <w:pPr>
              <w:ind w:firstLine="422" w:firstLineChars="200"/>
              <w:rPr>
                <w:rFonts w:eastAsia="楷体_GB2312"/>
                <w:b/>
              </w:rPr>
            </w:pPr>
          </w:p>
        </w:tc>
      </w:tr>
    </w:tbl>
    <w:p w14:paraId="32B6FB10">
      <w:pPr>
        <w:rPr>
          <w:rFonts w:eastAsia="楷体_GB2312"/>
        </w:rPr>
      </w:pPr>
    </w:p>
    <w:p w14:paraId="30CA5507">
      <w:pPr>
        <w:rPr>
          <w:rFonts w:eastAsia="楷体_GB2312"/>
        </w:rPr>
      </w:pPr>
      <w:r>
        <w:rPr>
          <w:rFonts w:eastAsia="楷体_GB2312"/>
        </w:rPr>
        <w:br w:type="page"/>
      </w:r>
    </w:p>
    <w:tbl>
      <w:tblPr>
        <w:tblStyle w:val="27"/>
        <w:tblW w:w="83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88"/>
        <w:gridCol w:w="1559"/>
        <w:gridCol w:w="1559"/>
        <w:gridCol w:w="1559"/>
        <w:gridCol w:w="1560"/>
        <w:gridCol w:w="1134"/>
      </w:tblGrid>
      <w:tr w14:paraId="17FE42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8359" w:type="dxa"/>
            <w:gridSpan w:val="6"/>
            <w:tcBorders>
              <w:bottom w:val="single" w:color="auto" w:sz="4" w:space="0"/>
            </w:tcBorders>
          </w:tcPr>
          <w:p w14:paraId="5D2CBA91">
            <w:pPr>
              <w:widowControl/>
              <w:spacing w:line="360" w:lineRule="auto"/>
              <w:jc w:val="center"/>
              <w:rPr>
                <w:rFonts w:eastAsia="楷体_GB2312"/>
                <w:b/>
                <w:sz w:val="28"/>
              </w:rPr>
            </w:pPr>
            <w:r>
              <w:rPr>
                <w:rFonts w:eastAsia="楷体_GB2312"/>
                <w:b/>
                <w:sz w:val="28"/>
              </w:rPr>
              <w:t>【信托名称】受托机构报告</w:t>
            </w:r>
          </w:p>
        </w:tc>
      </w:tr>
      <w:tr w14:paraId="15EBA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3" w:hRule="atLeast"/>
        </w:trPr>
        <w:tc>
          <w:tcPr>
            <w:tcW w:w="8359" w:type="dxa"/>
            <w:gridSpan w:val="6"/>
            <w:tcBorders>
              <w:top w:val="single" w:color="auto" w:sz="4" w:space="0"/>
              <w:bottom w:val="nil"/>
            </w:tcBorders>
          </w:tcPr>
          <w:p w14:paraId="1045B785">
            <w:pPr>
              <w:widowControl/>
              <w:spacing w:line="360" w:lineRule="auto"/>
              <w:jc w:val="left"/>
              <w:rPr>
                <w:rFonts w:eastAsia="楷体_GB2312"/>
                <w:b/>
                <w:szCs w:val="21"/>
              </w:rPr>
            </w:pPr>
            <w:r>
              <w:rPr>
                <w:rFonts w:eastAsia="楷体_GB2312"/>
                <w:b/>
                <w:szCs w:val="21"/>
              </w:rPr>
              <w:t>二、资产支持证券概况（续）</w:t>
            </w:r>
          </w:p>
          <w:p w14:paraId="5D9E1DD7">
            <w:pPr>
              <w:widowControl/>
              <w:spacing w:line="360" w:lineRule="auto"/>
              <w:rPr>
                <w:rFonts w:eastAsia="楷体_GB2312"/>
                <w:bCs/>
                <w:szCs w:val="21"/>
              </w:rPr>
            </w:pPr>
            <w:r>
              <w:rPr>
                <w:rFonts w:eastAsia="楷体_GB2312"/>
                <w:bCs/>
                <w:szCs w:val="21"/>
              </w:rPr>
              <w:t>（二）各档资产支持证券的本金、利息兑付情况</w:t>
            </w:r>
          </w:p>
        </w:tc>
      </w:tr>
      <w:tr w14:paraId="236DB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988" w:type="dxa"/>
            <w:tcBorders>
              <w:top w:val="single" w:color="auto" w:sz="4" w:space="0"/>
              <w:bottom w:val="single" w:color="auto" w:sz="4" w:space="0"/>
              <w:right w:val="single" w:color="auto" w:sz="4" w:space="0"/>
            </w:tcBorders>
          </w:tcPr>
          <w:p w14:paraId="0C89D1BC">
            <w:pPr>
              <w:widowControl/>
              <w:spacing w:line="360" w:lineRule="auto"/>
              <w:jc w:val="left"/>
              <w:rPr>
                <w:rFonts w:eastAsia="楷体_GB2312"/>
                <w:b/>
                <w:sz w:val="18"/>
                <w:lang w:eastAsia="zh-TW"/>
              </w:rPr>
            </w:pPr>
            <w:r>
              <w:rPr>
                <w:rFonts w:eastAsia="楷体_GB2312"/>
                <w:b/>
                <w:sz w:val="18"/>
                <w:lang w:eastAsia="zh-TW"/>
              </w:rPr>
              <w:t>证券分层</w:t>
            </w:r>
          </w:p>
        </w:tc>
        <w:tc>
          <w:tcPr>
            <w:tcW w:w="1559" w:type="dxa"/>
            <w:tcBorders>
              <w:top w:val="single" w:color="auto" w:sz="4" w:space="0"/>
              <w:left w:val="single" w:color="auto" w:sz="4" w:space="0"/>
              <w:bottom w:val="single" w:color="auto" w:sz="4" w:space="0"/>
              <w:right w:val="single" w:color="auto" w:sz="4" w:space="0"/>
            </w:tcBorders>
          </w:tcPr>
          <w:p w14:paraId="1E3FC668">
            <w:pPr>
              <w:keepNext/>
              <w:keepLines/>
              <w:widowControl/>
              <w:spacing w:line="360" w:lineRule="auto"/>
              <w:ind w:right="-250" w:rightChars="-119"/>
              <w:jc w:val="left"/>
              <w:rPr>
                <w:rFonts w:eastAsia="楷体_GB2312"/>
                <w:b/>
                <w:lang w:eastAsia="zh-TW"/>
              </w:rPr>
            </w:pPr>
            <w:r>
              <w:rPr>
                <w:rFonts w:eastAsia="楷体_GB2312"/>
                <w:b/>
                <w:lang w:eastAsia="zh-TW"/>
              </w:rPr>
              <w:t>信托生效日余额</w:t>
            </w:r>
          </w:p>
        </w:tc>
        <w:tc>
          <w:tcPr>
            <w:tcW w:w="1559" w:type="dxa"/>
            <w:tcBorders>
              <w:top w:val="single" w:color="auto" w:sz="4" w:space="0"/>
              <w:left w:val="single" w:color="auto" w:sz="4" w:space="0"/>
              <w:bottom w:val="single" w:color="auto" w:sz="4" w:space="0"/>
              <w:right w:val="single" w:color="auto" w:sz="4" w:space="0"/>
            </w:tcBorders>
          </w:tcPr>
          <w:p w14:paraId="0FAB4499">
            <w:pPr>
              <w:keepNext/>
              <w:keepLines/>
              <w:widowControl/>
              <w:spacing w:line="360" w:lineRule="auto"/>
              <w:jc w:val="center"/>
              <w:rPr>
                <w:rFonts w:eastAsia="楷体_GB2312"/>
                <w:b/>
                <w:lang w:eastAsia="zh-TW"/>
              </w:rPr>
            </w:pPr>
            <w:r>
              <w:rPr>
                <w:rFonts w:eastAsia="楷体_GB2312"/>
                <w:b/>
                <w:lang w:eastAsia="zh-TW"/>
              </w:rPr>
              <w:t>本期期初余额</w:t>
            </w:r>
          </w:p>
        </w:tc>
        <w:tc>
          <w:tcPr>
            <w:tcW w:w="1559" w:type="dxa"/>
            <w:tcBorders>
              <w:top w:val="single" w:color="auto" w:sz="4" w:space="0"/>
              <w:left w:val="single" w:color="auto" w:sz="4" w:space="0"/>
              <w:bottom w:val="single" w:color="auto" w:sz="4" w:space="0"/>
              <w:right w:val="single" w:color="auto" w:sz="4" w:space="0"/>
            </w:tcBorders>
          </w:tcPr>
          <w:p w14:paraId="387359A1">
            <w:pPr>
              <w:keepNext/>
              <w:keepLines/>
              <w:widowControl/>
              <w:spacing w:line="360" w:lineRule="auto"/>
              <w:jc w:val="center"/>
              <w:rPr>
                <w:rFonts w:eastAsia="楷体_GB2312"/>
                <w:b/>
                <w:lang w:eastAsia="zh-TW"/>
              </w:rPr>
            </w:pPr>
            <w:r>
              <w:rPr>
                <w:rFonts w:eastAsia="楷体_GB2312"/>
                <w:b/>
                <w:lang w:eastAsia="zh-TW"/>
              </w:rPr>
              <w:t>本期本金还款</w:t>
            </w:r>
          </w:p>
        </w:tc>
        <w:tc>
          <w:tcPr>
            <w:tcW w:w="1560" w:type="dxa"/>
            <w:tcBorders>
              <w:top w:val="single" w:color="auto" w:sz="4" w:space="0"/>
              <w:left w:val="single" w:color="auto" w:sz="4" w:space="0"/>
              <w:bottom w:val="single" w:color="auto" w:sz="4" w:space="0"/>
              <w:right w:val="single" w:color="auto" w:sz="4" w:space="0"/>
            </w:tcBorders>
          </w:tcPr>
          <w:p w14:paraId="3C424A3C">
            <w:pPr>
              <w:keepNext/>
              <w:keepLines/>
              <w:widowControl/>
              <w:spacing w:line="360" w:lineRule="auto"/>
              <w:jc w:val="center"/>
              <w:rPr>
                <w:rFonts w:eastAsia="楷体_GB2312"/>
                <w:b/>
                <w:lang w:eastAsia="zh-TW"/>
              </w:rPr>
            </w:pPr>
            <w:r>
              <w:rPr>
                <w:rFonts w:eastAsia="楷体_GB2312"/>
                <w:b/>
                <w:lang w:eastAsia="zh-TW"/>
              </w:rPr>
              <w:t>本期期末余额</w:t>
            </w:r>
          </w:p>
        </w:tc>
        <w:tc>
          <w:tcPr>
            <w:tcW w:w="1134" w:type="dxa"/>
            <w:tcBorders>
              <w:top w:val="single" w:color="auto" w:sz="4" w:space="0"/>
              <w:left w:val="single" w:color="auto" w:sz="4" w:space="0"/>
              <w:bottom w:val="single" w:color="auto" w:sz="4" w:space="0"/>
            </w:tcBorders>
          </w:tcPr>
          <w:p w14:paraId="5626A3FB">
            <w:pPr>
              <w:keepNext/>
              <w:keepLines/>
              <w:widowControl/>
              <w:spacing w:line="360" w:lineRule="auto"/>
              <w:jc w:val="center"/>
              <w:rPr>
                <w:rFonts w:eastAsia="楷体_GB2312"/>
                <w:b/>
                <w:lang w:eastAsia="zh-TW"/>
              </w:rPr>
            </w:pPr>
            <w:r>
              <w:rPr>
                <w:rFonts w:eastAsia="楷体_GB2312"/>
                <w:b/>
                <w:lang w:eastAsia="zh-TW"/>
              </w:rPr>
              <w:t>兑付比例</w:t>
            </w:r>
          </w:p>
        </w:tc>
      </w:tr>
      <w:tr w14:paraId="0ED2A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988" w:type="dxa"/>
            <w:tcBorders>
              <w:top w:val="single" w:color="auto" w:sz="4" w:space="0"/>
              <w:bottom w:val="single" w:color="auto" w:sz="4" w:space="0"/>
              <w:right w:val="single" w:color="auto" w:sz="4" w:space="0"/>
            </w:tcBorders>
          </w:tcPr>
          <w:p w14:paraId="43691A74">
            <w:pPr>
              <w:widowControl/>
              <w:spacing w:line="360" w:lineRule="auto"/>
              <w:jc w:val="left"/>
              <w:rPr>
                <w:rFonts w:eastAsia="楷体_GB2312"/>
                <w:sz w:val="18"/>
                <w:szCs w:val="18"/>
              </w:rPr>
            </w:pPr>
            <w:r>
              <w:rPr>
                <w:rFonts w:eastAsia="楷体_GB2312"/>
                <w:sz w:val="18"/>
                <w:szCs w:val="18"/>
                <w:lang w:eastAsia="zh-TW"/>
              </w:rPr>
              <w:t>优先A级</w:t>
            </w:r>
          </w:p>
        </w:tc>
        <w:tc>
          <w:tcPr>
            <w:tcW w:w="1559" w:type="dxa"/>
            <w:tcBorders>
              <w:top w:val="single" w:color="auto" w:sz="4" w:space="0"/>
              <w:left w:val="single" w:color="auto" w:sz="4" w:space="0"/>
              <w:bottom w:val="single" w:color="auto" w:sz="4" w:space="0"/>
              <w:right w:val="single" w:color="auto" w:sz="4" w:space="0"/>
            </w:tcBorders>
          </w:tcPr>
          <w:p w14:paraId="3228A92F">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5CEF5021">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63E1FCF2">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6FB1AC86">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0E347E01">
            <w:pPr>
              <w:widowControl/>
              <w:spacing w:line="360" w:lineRule="auto"/>
              <w:jc w:val="center"/>
              <w:rPr>
                <w:rFonts w:eastAsia="楷体_GB2312"/>
                <w:b/>
                <w:sz w:val="18"/>
                <w:szCs w:val="18"/>
                <w:lang w:eastAsia="zh-TW"/>
              </w:rPr>
            </w:pPr>
          </w:p>
        </w:tc>
      </w:tr>
      <w:tr w14:paraId="43880A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988" w:type="dxa"/>
            <w:tcBorders>
              <w:top w:val="single" w:color="auto" w:sz="4" w:space="0"/>
              <w:bottom w:val="single" w:color="auto" w:sz="4" w:space="0"/>
              <w:right w:val="single" w:color="auto" w:sz="4" w:space="0"/>
            </w:tcBorders>
          </w:tcPr>
          <w:p w14:paraId="4161CBBE">
            <w:pPr>
              <w:widowControl/>
              <w:spacing w:line="360" w:lineRule="auto"/>
              <w:jc w:val="left"/>
              <w:rPr>
                <w:rFonts w:eastAsia="楷体_GB2312"/>
                <w:sz w:val="18"/>
                <w:szCs w:val="18"/>
                <w:lang w:eastAsia="zh-TW"/>
              </w:rPr>
            </w:pPr>
            <w:r>
              <w:rPr>
                <w:rFonts w:eastAsia="楷体_GB2312"/>
                <w:sz w:val="18"/>
                <w:szCs w:val="18"/>
                <w:lang w:eastAsia="zh-TW"/>
              </w:rPr>
              <w:t>优先B级</w:t>
            </w:r>
          </w:p>
        </w:tc>
        <w:tc>
          <w:tcPr>
            <w:tcW w:w="1559" w:type="dxa"/>
            <w:tcBorders>
              <w:top w:val="single" w:color="auto" w:sz="4" w:space="0"/>
              <w:left w:val="single" w:color="auto" w:sz="4" w:space="0"/>
              <w:bottom w:val="single" w:color="auto" w:sz="4" w:space="0"/>
              <w:right w:val="single" w:color="auto" w:sz="4" w:space="0"/>
            </w:tcBorders>
          </w:tcPr>
          <w:p w14:paraId="5FD216CE">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19C1D46D">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3BFF092D">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420FEA4D">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779C5579">
            <w:pPr>
              <w:widowControl/>
              <w:spacing w:line="360" w:lineRule="auto"/>
              <w:jc w:val="center"/>
              <w:rPr>
                <w:rFonts w:eastAsia="楷体_GB2312"/>
                <w:b/>
                <w:sz w:val="18"/>
                <w:szCs w:val="18"/>
                <w:lang w:eastAsia="zh-TW"/>
              </w:rPr>
            </w:pPr>
          </w:p>
        </w:tc>
      </w:tr>
      <w:tr w14:paraId="73829C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8" w:type="dxa"/>
            <w:tcBorders>
              <w:top w:val="single" w:color="auto" w:sz="4" w:space="0"/>
              <w:bottom w:val="single" w:color="auto" w:sz="4" w:space="0"/>
              <w:right w:val="single" w:color="auto" w:sz="4" w:space="0"/>
            </w:tcBorders>
          </w:tcPr>
          <w:p w14:paraId="5504E105">
            <w:pPr>
              <w:widowControl/>
              <w:spacing w:line="360" w:lineRule="auto"/>
              <w:jc w:val="left"/>
              <w:rPr>
                <w:rFonts w:eastAsia="楷体_GB2312"/>
                <w:b/>
                <w:sz w:val="18"/>
                <w:szCs w:val="18"/>
              </w:rPr>
            </w:pPr>
            <w:r>
              <w:rPr>
                <w:rFonts w:eastAsia="楷体_GB2312"/>
                <w:sz w:val="18"/>
              </w:rPr>
              <w:t>次级</w:t>
            </w:r>
          </w:p>
        </w:tc>
        <w:tc>
          <w:tcPr>
            <w:tcW w:w="1559" w:type="dxa"/>
            <w:tcBorders>
              <w:top w:val="single" w:color="auto" w:sz="4" w:space="0"/>
              <w:left w:val="single" w:color="auto" w:sz="4" w:space="0"/>
              <w:bottom w:val="single" w:color="auto" w:sz="4" w:space="0"/>
              <w:right w:val="single" w:color="auto" w:sz="4" w:space="0"/>
            </w:tcBorders>
          </w:tcPr>
          <w:p w14:paraId="37396C76">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3102B712">
            <w:pPr>
              <w:widowControl/>
              <w:spacing w:line="360" w:lineRule="auto"/>
              <w:jc w:val="center"/>
              <w:rPr>
                <w:rFonts w:eastAsia="楷体_GB2312"/>
                <w:b/>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5035FCF6">
            <w:pPr>
              <w:widowControl/>
              <w:spacing w:line="360" w:lineRule="auto"/>
              <w:jc w:val="center"/>
              <w:rPr>
                <w:rFonts w:eastAsia="楷体_GB2312"/>
                <w:b/>
                <w:sz w:val="18"/>
                <w:szCs w:val="18"/>
                <w:lang w:eastAsia="zh-TW"/>
              </w:rPr>
            </w:pPr>
          </w:p>
        </w:tc>
        <w:tc>
          <w:tcPr>
            <w:tcW w:w="1560" w:type="dxa"/>
            <w:tcBorders>
              <w:top w:val="single" w:color="auto" w:sz="4" w:space="0"/>
              <w:left w:val="single" w:color="auto" w:sz="4" w:space="0"/>
              <w:bottom w:val="single" w:color="auto" w:sz="4" w:space="0"/>
              <w:right w:val="single" w:color="auto" w:sz="4" w:space="0"/>
            </w:tcBorders>
          </w:tcPr>
          <w:p w14:paraId="423657E3">
            <w:pPr>
              <w:widowControl/>
              <w:spacing w:line="360" w:lineRule="auto"/>
              <w:jc w:val="center"/>
              <w:rPr>
                <w:rFonts w:eastAsia="楷体_GB2312"/>
                <w:b/>
                <w:sz w:val="18"/>
                <w:szCs w:val="18"/>
                <w:lang w:eastAsia="zh-TW"/>
              </w:rPr>
            </w:pPr>
          </w:p>
        </w:tc>
        <w:tc>
          <w:tcPr>
            <w:tcW w:w="1134" w:type="dxa"/>
            <w:tcBorders>
              <w:top w:val="single" w:color="auto" w:sz="4" w:space="0"/>
              <w:left w:val="single" w:color="auto" w:sz="4" w:space="0"/>
              <w:bottom w:val="single" w:color="auto" w:sz="4" w:space="0"/>
            </w:tcBorders>
          </w:tcPr>
          <w:p w14:paraId="39D6763C">
            <w:pPr>
              <w:widowControl/>
              <w:spacing w:line="360" w:lineRule="auto"/>
              <w:jc w:val="center"/>
              <w:rPr>
                <w:rFonts w:eastAsia="楷体_GB2312"/>
                <w:b/>
                <w:sz w:val="18"/>
                <w:szCs w:val="18"/>
                <w:lang w:eastAsia="zh-TW"/>
              </w:rPr>
            </w:pPr>
          </w:p>
        </w:tc>
      </w:tr>
    </w:tbl>
    <w:p w14:paraId="74B36B99">
      <w:pPr>
        <w:rPr>
          <w:rFonts w:eastAsia="楷体_GB2312"/>
        </w:rPr>
      </w:pPr>
    </w:p>
    <w:p w14:paraId="2233B1D0">
      <w:pPr>
        <w:rPr>
          <w:rFonts w:eastAsia="楷体_GB2312"/>
        </w:rPr>
      </w:pPr>
    </w:p>
    <w:p w14:paraId="34393B53">
      <w:pPr>
        <w:widowControl/>
        <w:jc w:val="left"/>
        <w:rPr>
          <w:rFonts w:eastAsia="楷体_GB2312"/>
        </w:rPr>
      </w:pPr>
      <w:r>
        <w:rPr>
          <w:rFonts w:eastAsia="楷体_GB2312"/>
        </w:rPr>
        <w:br w:type="page"/>
      </w:r>
    </w:p>
    <w:tbl>
      <w:tblPr>
        <w:tblStyle w:val="27"/>
        <w:tblW w:w="83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0"/>
        <w:gridCol w:w="905"/>
        <w:gridCol w:w="1215"/>
        <w:gridCol w:w="1061"/>
        <w:gridCol w:w="1274"/>
        <w:gridCol w:w="991"/>
        <w:gridCol w:w="1983"/>
      </w:tblGrid>
      <w:tr w14:paraId="79CDE4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8359" w:type="dxa"/>
            <w:gridSpan w:val="7"/>
            <w:tcBorders>
              <w:bottom w:val="single" w:color="auto" w:sz="4" w:space="0"/>
            </w:tcBorders>
          </w:tcPr>
          <w:p w14:paraId="12A5B2ED">
            <w:pPr>
              <w:widowControl/>
              <w:spacing w:line="360" w:lineRule="auto"/>
              <w:jc w:val="center"/>
              <w:rPr>
                <w:rFonts w:eastAsia="楷体_GB2312"/>
                <w:b/>
                <w:sz w:val="28"/>
              </w:rPr>
            </w:pPr>
            <w:r>
              <w:rPr>
                <w:rFonts w:eastAsia="楷体_GB2312"/>
                <w:b/>
                <w:sz w:val="28"/>
              </w:rPr>
              <w:t>【信托名称】受托机构报告</w:t>
            </w:r>
          </w:p>
        </w:tc>
      </w:tr>
      <w:tr w14:paraId="5CEA63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359" w:type="dxa"/>
            <w:gridSpan w:val="7"/>
            <w:tcBorders>
              <w:top w:val="single" w:color="auto" w:sz="4" w:space="0"/>
              <w:bottom w:val="nil"/>
            </w:tcBorders>
          </w:tcPr>
          <w:p w14:paraId="6AC0D128">
            <w:pPr>
              <w:widowControl/>
              <w:spacing w:line="360" w:lineRule="auto"/>
              <w:jc w:val="left"/>
              <w:rPr>
                <w:rFonts w:eastAsia="楷体_GB2312"/>
                <w:b/>
                <w:szCs w:val="21"/>
              </w:rPr>
            </w:pPr>
            <w:r>
              <w:rPr>
                <w:rFonts w:eastAsia="楷体_GB2312"/>
                <w:b/>
                <w:szCs w:val="21"/>
              </w:rPr>
              <w:t>二、资产支持证券概况（续）</w:t>
            </w:r>
          </w:p>
          <w:p w14:paraId="0224E824">
            <w:pPr>
              <w:widowControl/>
              <w:spacing w:line="360" w:lineRule="auto"/>
              <w:rPr>
                <w:rFonts w:eastAsia="楷体_GB2312"/>
                <w:bCs/>
                <w:szCs w:val="21"/>
              </w:rPr>
            </w:pPr>
            <w:r>
              <w:rPr>
                <w:rFonts w:eastAsia="楷体_GB2312"/>
                <w:bCs/>
                <w:szCs w:val="21"/>
              </w:rPr>
              <w:t>（三）各档资产支持证券的本金、利息兑付情况</w:t>
            </w:r>
          </w:p>
        </w:tc>
      </w:tr>
      <w:tr w14:paraId="542978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931" w:type="dxa"/>
            <w:tcBorders>
              <w:top w:val="single" w:color="auto" w:sz="4" w:space="0"/>
              <w:bottom w:val="single" w:color="auto" w:sz="4" w:space="0"/>
              <w:right w:val="single" w:color="auto" w:sz="4" w:space="0"/>
            </w:tcBorders>
          </w:tcPr>
          <w:p w14:paraId="26EB94BC">
            <w:pPr>
              <w:widowControl/>
              <w:spacing w:line="360" w:lineRule="auto"/>
              <w:jc w:val="left"/>
              <w:rPr>
                <w:rFonts w:eastAsia="楷体_GB2312"/>
                <w:b/>
                <w:sz w:val="18"/>
                <w:lang w:eastAsia="zh-TW"/>
              </w:rPr>
            </w:pPr>
            <w:r>
              <w:rPr>
                <w:rFonts w:eastAsia="楷体_GB2312"/>
                <w:b/>
                <w:sz w:val="18"/>
                <w:lang w:eastAsia="zh-TW"/>
              </w:rPr>
              <w:t>证券分层</w:t>
            </w:r>
          </w:p>
        </w:tc>
        <w:tc>
          <w:tcPr>
            <w:tcW w:w="906" w:type="dxa"/>
            <w:tcBorders>
              <w:top w:val="single" w:color="auto" w:sz="4" w:space="0"/>
              <w:left w:val="single" w:color="auto" w:sz="4" w:space="0"/>
              <w:bottom w:val="single" w:color="auto" w:sz="4" w:space="0"/>
              <w:right w:val="single" w:color="auto" w:sz="4" w:space="0"/>
            </w:tcBorders>
          </w:tcPr>
          <w:p w14:paraId="36B5C38B">
            <w:pPr>
              <w:keepNext/>
              <w:keepLines/>
              <w:widowControl/>
              <w:spacing w:line="360" w:lineRule="auto"/>
              <w:ind w:right="-250" w:rightChars="-119"/>
              <w:jc w:val="left"/>
              <w:rPr>
                <w:rFonts w:eastAsia="楷体_GB2312"/>
                <w:b/>
                <w:lang w:eastAsia="zh-TW"/>
              </w:rPr>
            </w:pPr>
            <w:r>
              <w:rPr>
                <w:rFonts w:eastAsia="楷体_GB2312"/>
                <w:b/>
                <w:sz w:val="18"/>
                <w:szCs w:val="18"/>
              </w:rPr>
              <w:t>执行利率（%）</w:t>
            </w:r>
          </w:p>
        </w:tc>
        <w:tc>
          <w:tcPr>
            <w:tcW w:w="1217" w:type="dxa"/>
            <w:tcBorders>
              <w:top w:val="single" w:color="auto" w:sz="4" w:space="0"/>
              <w:left w:val="single" w:color="auto" w:sz="4" w:space="0"/>
              <w:bottom w:val="single" w:color="auto" w:sz="4" w:space="0"/>
              <w:right w:val="single" w:color="auto" w:sz="4" w:space="0"/>
            </w:tcBorders>
          </w:tcPr>
          <w:p w14:paraId="761B7DC4">
            <w:pPr>
              <w:keepNext/>
              <w:keepLines/>
              <w:widowControl/>
              <w:spacing w:line="360" w:lineRule="auto"/>
              <w:jc w:val="center"/>
              <w:rPr>
                <w:rFonts w:eastAsia="楷体_GB2312"/>
                <w:b/>
                <w:lang w:eastAsia="zh-TW"/>
              </w:rPr>
            </w:pPr>
            <w:r>
              <w:rPr>
                <w:rFonts w:eastAsia="楷体_GB2312"/>
                <w:b/>
                <w:sz w:val="18"/>
                <w:szCs w:val="18"/>
              </w:rPr>
              <w:t>利息支付金额</w:t>
            </w:r>
          </w:p>
        </w:tc>
        <w:tc>
          <w:tcPr>
            <w:tcW w:w="1062" w:type="dxa"/>
            <w:tcBorders>
              <w:top w:val="single" w:color="auto" w:sz="4" w:space="0"/>
              <w:left w:val="single" w:color="auto" w:sz="4" w:space="0"/>
              <w:bottom w:val="single" w:color="auto" w:sz="4" w:space="0"/>
              <w:right w:val="single" w:color="auto" w:sz="4" w:space="0"/>
            </w:tcBorders>
          </w:tcPr>
          <w:p w14:paraId="17B4B2FB">
            <w:pPr>
              <w:keepNext/>
              <w:keepLines/>
              <w:widowControl/>
              <w:spacing w:line="360" w:lineRule="auto"/>
              <w:jc w:val="center"/>
              <w:rPr>
                <w:rFonts w:eastAsia="楷体_GB2312"/>
                <w:b/>
                <w:lang w:eastAsia="zh-TW"/>
              </w:rPr>
            </w:pPr>
            <w:r>
              <w:rPr>
                <w:rFonts w:eastAsia="楷体_GB2312"/>
                <w:b/>
                <w:sz w:val="18"/>
                <w:szCs w:val="18"/>
              </w:rPr>
              <w:t>每100元支付</w:t>
            </w:r>
            <w:r>
              <w:rPr>
                <w:rFonts w:eastAsia="楷体_GB2312"/>
                <w:b/>
                <w:sz w:val="18"/>
              </w:rPr>
              <w:t>利息</w:t>
            </w:r>
          </w:p>
        </w:tc>
        <w:tc>
          <w:tcPr>
            <w:tcW w:w="1265" w:type="dxa"/>
            <w:tcBorders>
              <w:top w:val="single" w:color="auto" w:sz="4" w:space="0"/>
              <w:left w:val="single" w:color="auto" w:sz="4" w:space="0"/>
              <w:bottom w:val="single" w:color="auto" w:sz="4" w:space="0"/>
              <w:right w:val="single" w:color="auto" w:sz="4" w:space="0"/>
            </w:tcBorders>
          </w:tcPr>
          <w:p w14:paraId="0A42F485">
            <w:pPr>
              <w:keepNext/>
              <w:keepLines/>
              <w:widowControl/>
              <w:spacing w:line="360" w:lineRule="auto"/>
              <w:jc w:val="center"/>
              <w:rPr>
                <w:rFonts w:eastAsia="楷体_GB2312"/>
                <w:b/>
                <w:sz w:val="18"/>
                <w:szCs w:val="18"/>
                <w:lang w:eastAsia="zh-TW"/>
              </w:rPr>
            </w:pPr>
            <w:r>
              <w:rPr>
                <w:rFonts w:eastAsia="楷体_GB2312"/>
                <w:b/>
                <w:sz w:val="18"/>
                <w:szCs w:val="18"/>
                <w:lang w:eastAsia="zh-TW"/>
              </w:rPr>
              <w:t>本金支付额</w:t>
            </w:r>
          </w:p>
        </w:tc>
        <w:tc>
          <w:tcPr>
            <w:tcW w:w="992" w:type="dxa"/>
            <w:tcBorders>
              <w:top w:val="single" w:color="auto" w:sz="4" w:space="0"/>
              <w:left w:val="single" w:color="auto" w:sz="4" w:space="0"/>
              <w:bottom w:val="single" w:color="auto" w:sz="4" w:space="0"/>
              <w:right w:val="single" w:color="auto" w:sz="4" w:space="0"/>
            </w:tcBorders>
          </w:tcPr>
          <w:p w14:paraId="45AB41AC">
            <w:pPr>
              <w:keepNext/>
              <w:keepLines/>
              <w:widowControl/>
              <w:spacing w:line="360" w:lineRule="auto"/>
              <w:jc w:val="center"/>
              <w:rPr>
                <w:rFonts w:eastAsia="楷体_GB2312"/>
                <w:b/>
                <w:sz w:val="18"/>
                <w:szCs w:val="18"/>
                <w:lang w:eastAsia="zh-TW"/>
              </w:rPr>
            </w:pPr>
            <w:r>
              <w:rPr>
                <w:rFonts w:eastAsia="楷体_GB2312"/>
                <w:b/>
                <w:sz w:val="18"/>
                <w:szCs w:val="18"/>
                <w:lang w:eastAsia="zh-TW"/>
              </w:rPr>
              <w:t>每</w:t>
            </w:r>
            <w:r>
              <w:rPr>
                <w:rFonts w:eastAsia="楷体_GB2312"/>
                <w:b/>
                <w:sz w:val="18"/>
                <w:szCs w:val="18"/>
              </w:rPr>
              <w:t>100</w:t>
            </w:r>
            <w:r>
              <w:rPr>
                <w:rFonts w:eastAsia="楷体_GB2312"/>
                <w:b/>
                <w:sz w:val="18"/>
                <w:szCs w:val="18"/>
                <w:lang w:eastAsia="zh-TW"/>
              </w:rPr>
              <w:t>元支付本金</w:t>
            </w:r>
          </w:p>
        </w:tc>
        <w:tc>
          <w:tcPr>
            <w:tcW w:w="1986" w:type="dxa"/>
            <w:tcBorders>
              <w:top w:val="single" w:color="auto" w:sz="4" w:space="0"/>
              <w:left w:val="single" w:color="auto" w:sz="4" w:space="0"/>
              <w:bottom w:val="single" w:color="auto" w:sz="4" w:space="0"/>
            </w:tcBorders>
          </w:tcPr>
          <w:p w14:paraId="56033588">
            <w:pPr>
              <w:keepNext/>
              <w:keepLines/>
              <w:widowControl/>
              <w:spacing w:line="360" w:lineRule="auto"/>
              <w:jc w:val="center"/>
              <w:rPr>
                <w:rFonts w:eastAsia="楷体_GB2312"/>
                <w:b/>
                <w:sz w:val="18"/>
                <w:szCs w:val="18"/>
                <w:lang w:eastAsia="zh-TW"/>
              </w:rPr>
            </w:pPr>
            <w:r>
              <w:rPr>
                <w:rFonts w:eastAsia="楷体_GB2312"/>
                <w:b/>
                <w:sz w:val="18"/>
                <w:szCs w:val="18"/>
                <w:lang w:eastAsia="zh-TW"/>
              </w:rPr>
              <w:t>总支付金额</w:t>
            </w:r>
          </w:p>
        </w:tc>
      </w:tr>
      <w:tr w14:paraId="24A27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31" w:type="dxa"/>
            <w:tcBorders>
              <w:top w:val="single" w:color="auto" w:sz="4" w:space="0"/>
              <w:bottom w:val="single" w:color="auto" w:sz="4" w:space="0"/>
              <w:right w:val="single" w:color="auto" w:sz="4" w:space="0"/>
            </w:tcBorders>
          </w:tcPr>
          <w:p w14:paraId="55F7F569">
            <w:pPr>
              <w:widowControl/>
              <w:spacing w:line="360" w:lineRule="auto"/>
              <w:jc w:val="left"/>
              <w:rPr>
                <w:rFonts w:eastAsia="楷体_GB2312"/>
                <w:sz w:val="18"/>
                <w:szCs w:val="18"/>
              </w:rPr>
            </w:pPr>
            <w:r>
              <w:rPr>
                <w:rFonts w:eastAsia="楷体_GB2312"/>
                <w:sz w:val="18"/>
                <w:szCs w:val="18"/>
                <w:lang w:eastAsia="zh-TW"/>
              </w:rPr>
              <w:t>优先A级</w:t>
            </w:r>
          </w:p>
        </w:tc>
        <w:tc>
          <w:tcPr>
            <w:tcW w:w="906" w:type="dxa"/>
            <w:tcBorders>
              <w:top w:val="single" w:color="auto" w:sz="4" w:space="0"/>
              <w:left w:val="single" w:color="auto" w:sz="4" w:space="0"/>
              <w:bottom w:val="single" w:color="auto" w:sz="4" w:space="0"/>
              <w:right w:val="single" w:color="auto" w:sz="4" w:space="0"/>
            </w:tcBorders>
          </w:tcPr>
          <w:p w14:paraId="248EB123">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112E4616">
            <w:pPr>
              <w:widowControl/>
              <w:spacing w:line="360" w:lineRule="auto"/>
              <w:jc w:val="center"/>
              <w:rPr>
                <w:rFonts w:eastAsia="楷体_GB2312"/>
                <w:b/>
                <w:sz w:val="18"/>
                <w:szCs w:val="18"/>
                <w:lang w:eastAsia="zh-TW"/>
              </w:rPr>
            </w:pPr>
          </w:p>
        </w:tc>
        <w:tc>
          <w:tcPr>
            <w:tcW w:w="1062" w:type="dxa"/>
            <w:tcBorders>
              <w:top w:val="single" w:color="auto" w:sz="4" w:space="0"/>
              <w:left w:val="single" w:color="auto" w:sz="4" w:space="0"/>
              <w:bottom w:val="single" w:color="auto" w:sz="4" w:space="0"/>
              <w:right w:val="single" w:color="auto" w:sz="4" w:space="0"/>
            </w:tcBorders>
          </w:tcPr>
          <w:p w14:paraId="37438093">
            <w:pPr>
              <w:widowControl/>
              <w:spacing w:line="360" w:lineRule="auto"/>
              <w:jc w:val="center"/>
              <w:rPr>
                <w:rFonts w:eastAsia="楷体_GB2312"/>
                <w:b/>
                <w:sz w:val="18"/>
                <w:szCs w:val="18"/>
                <w:lang w:eastAsia="zh-TW"/>
              </w:rPr>
            </w:pPr>
          </w:p>
        </w:tc>
        <w:tc>
          <w:tcPr>
            <w:tcW w:w="1265" w:type="dxa"/>
            <w:tcBorders>
              <w:top w:val="single" w:color="auto" w:sz="4" w:space="0"/>
              <w:left w:val="single" w:color="auto" w:sz="4" w:space="0"/>
              <w:bottom w:val="single" w:color="auto" w:sz="4" w:space="0"/>
              <w:right w:val="single" w:color="auto" w:sz="4" w:space="0"/>
            </w:tcBorders>
          </w:tcPr>
          <w:p w14:paraId="33A8654A">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5E429236">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3AF002A6">
            <w:pPr>
              <w:widowControl/>
              <w:spacing w:line="360" w:lineRule="auto"/>
              <w:jc w:val="center"/>
              <w:rPr>
                <w:rFonts w:eastAsia="楷体_GB2312"/>
                <w:b/>
                <w:sz w:val="18"/>
                <w:szCs w:val="18"/>
                <w:lang w:eastAsia="zh-TW"/>
              </w:rPr>
            </w:pPr>
          </w:p>
        </w:tc>
      </w:tr>
      <w:tr w14:paraId="3AFDC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931" w:type="dxa"/>
            <w:tcBorders>
              <w:top w:val="single" w:color="auto" w:sz="4" w:space="0"/>
              <w:bottom w:val="single" w:color="auto" w:sz="4" w:space="0"/>
              <w:right w:val="single" w:color="auto" w:sz="4" w:space="0"/>
            </w:tcBorders>
          </w:tcPr>
          <w:p w14:paraId="0899123F">
            <w:pPr>
              <w:widowControl/>
              <w:spacing w:line="360" w:lineRule="auto"/>
              <w:jc w:val="left"/>
              <w:rPr>
                <w:rFonts w:eastAsia="楷体_GB2312"/>
                <w:sz w:val="18"/>
                <w:szCs w:val="18"/>
                <w:lang w:eastAsia="zh-TW"/>
              </w:rPr>
            </w:pPr>
            <w:r>
              <w:rPr>
                <w:rFonts w:eastAsia="楷体_GB2312"/>
                <w:sz w:val="18"/>
                <w:szCs w:val="18"/>
                <w:lang w:eastAsia="zh-TW"/>
              </w:rPr>
              <w:t>优先B级</w:t>
            </w:r>
          </w:p>
        </w:tc>
        <w:tc>
          <w:tcPr>
            <w:tcW w:w="906" w:type="dxa"/>
            <w:tcBorders>
              <w:top w:val="single" w:color="auto" w:sz="4" w:space="0"/>
              <w:left w:val="single" w:color="auto" w:sz="4" w:space="0"/>
              <w:bottom w:val="single" w:color="auto" w:sz="4" w:space="0"/>
              <w:right w:val="single" w:color="auto" w:sz="4" w:space="0"/>
            </w:tcBorders>
          </w:tcPr>
          <w:p w14:paraId="735DA059">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69DD6FA4">
            <w:pPr>
              <w:widowControl/>
              <w:spacing w:line="360" w:lineRule="auto"/>
              <w:jc w:val="center"/>
              <w:rPr>
                <w:rFonts w:eastAsia="楷体_GB2312"/>
                <w:b/>
                <w:sz w:val="18"/>
                <w:szCs w:val="18"/>
                <w:lang w:eastAsia="zh-TW"/>
              </w:rPr>
            </w:pPr>
          </w:p>
        </w:tc>
        <w:tc>
          <w:tcPr>
            <w:tcW w:w="1062" w:type="dxa"/>
            <w:tcBorders>
              <w:top w:val="single" w:color="auto" w:sz="4" w:space="0"/>
              <w:left w:val="single" w:color="auto" w:sz="4" w:space="0"/>
              <w:bottom w:val="single" w:color="auto" w:sz="4" w:space="0"/>
              <w:right w:val="single" w:color="auto" w:sz="4" w:space="0"/>
            </w:tcBorders>
          </w:tcPr>
          <w:p w14:paraId="6F10C369">
            <w:pPr>
              <w:widowControl/>
              <w:spacing w:line="360" w:lineRule="auto"/>
              <w:jc w:val="center"/>
              <w:rPr>
                <w:rFonts w:eastAsia="楷体_GB2312"/>
                <w:b/>
                <w:sz w:val="18"/>
                <w:szCs w:val="18"/>
                <w:lang w:eastAsia="zh-TW"/>
              </w:rPr>
            </w:pPr>
          </w:p>
        </w:tc>
        <w:tc>
          <w:tcPr>
            <w:tcW w:w="1265" w:type="dxa"/>
            <w:tcBorders>
              <w:top w:val="single" w:color="auto" w:sz="4" w:space="0"/>
              <w:left w:val="single" w:color="auto" w:sz="4" w:space="0"/>
              <w:bottom w:val="single" w:color="auto" w:sz="4" w:space="0"/>
              <w:right w:val="single" w:color="auto" w:sz="4" w:space="0"/>
            </w:tcBorders>
          </w:tcPr>
          <w:p w14:paraId="7125955E">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49E02BA9">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37F7DD9E">
            <w:pPr>
              <w:widowControl/>
              <w:spacing w:line="360" w:lineRule="auto"/>
              <w:jc w:val="center"/>
              <w:rPr>
                <w:rFonts w:eastAsia="楷体_GB2312"/>
                <w:b/>
                <w:sz w:val="18"/>
                <w:szCs w:val="18"/>
                <w:lang w:eastAsia="zh-TW"/>
              </w:rPr>
            </w:pPr>
          </w:p>
        </w:tc>
      </w:tr>
      <w:tr w14:paraId="7225F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931" w:type="dxa"/>
            <w:tcBorders>
              <w:top w:val="single" w:color="auto" w:sz="4" w:space="0"/>
              <w:bottom w:val="single" w:color="auto" w:sz="4" w:space="0"/>
              <w:right w:val="single" w:color="auto" w:sz="4" w:space="0"/>
            </w:tcBorders>
          </w:tcPr>
          <w:p w14:paraId="35C02A9E">
            <w:pPr>
              <w:widowControl/>
              <w:spacing w:line="360" w:lineRule="auto"/>
              <w:jc w:val="left"/>
              <w:rPr>
                <w:rFonts w:eastAsia="楷体_GB2312"/>
                <w:b/>
                <w:sz w:val="18"/>
                <w:szCs w:val="18"/>
              </w:rPr>
            </w:pPr>
            <w:r>
              <w:rPr>
                <w:rFonts w:eastAsia="楷体_GB2312"/>
                <w:sz w:val="18"/>
              </w:rPr>
              <w:t>次级</w:t>
            </w:r>
          </w:p>
        </w:tc>
        <w:tc>
          <w:tcPr>
            <w:tcW w:w="906" w:type="dxa"/>
            <w:tcBorders>
              <w:top w:val="single" w:color="auto" w:sz="4" w:space="0"/>
              <w:left w:val="single" w:color="auto" w:sz="4" w:space="0"/>
              <w:bottom w:val="single" w:color="auto" w:sz="4" w:space="0"/>
              <w:right w:val="single" w:color="auto" w:sz="4" w:space="0"/>
            </w:tcBorders>
          </w:tcPr>
          <w:p w14:paraId="282FC7D1">
            <w:pPr>
              <w:widowControl/>
              <w:spacing w:line="360" w:lineRule="auto"/>
              <w:jc w:val="center"/>
              <w:rPr>
                <w:rFonts w:eastAsia="楷体_GB2312"/>
                <w:b/>
                <w:sz w:val="18"/>
                <w:szCs w:val="18"/>
                <w:lang w:eastAsia="zh-TW"/>
              </w:rPr>
            </w:pPr>
          </w:p>
        </w:tc>
        <w:tc>
          <w:tcPr>
            <w:tcW w:w="1217" w:type="dxa"/>
            <w:tcBorders>
              <w:top w:val="single" w:color="auto" w:sz="4" w:space="0"/>
              <w:left w:val="single" w:color="auto" w:sz="4" w:space="0"/>
              <w:bottom w:val="single" w:color="auto" w:sz="4" w:space="0"/>
              <w:right w:val="single" w:color="auto" w:sz="4" w:space="0"/>
            </w:tcBorders>
          </w:tcPr>
          <w:p w14:paraId="4C115D4A">
            <w:pPr>
              <w:widowControl/>
              <w:spacing w:line="360" w:lineRule="auto"/>
              <w:jc w:val="center"/>
              <w:rPr>
                <w:rFonts w:eastAsia="楷体_GB2312"/>
                <w:b/>
                <w:sz w:val="18"/>
                <w:szCs w:val="18"/>
                <w:lang w:eastAsia="zh-TW"/>
              </w:rPr>
            </w:pPr>
          </w:p>
        </w:tc>
        <w:tc>
          <w:tcPr>
            <w:tcW w:w="1051" w:type="dxa"/>
            <w:tcBorders>
              <w:top w:val="single" w:color="auto" w:sz="4" w:space="0"/>
              <w:left w:val="single" w:color="auto" w:sz="4" w:space="0"/>
              <w:bottom w:val="single" w:color="auto" w:sz="4" w:space="0"/>
              <w:right w:val="single" w:color="auto" w:sz="4" w:space="0"/>
            </w:tcBorders>
          </w:tcPr>
          <w:p w14:paraId="5134BAD8">
            <w:pPr>
              <w:widowControl/>
              <w:spacing w:line="360" w:lineRule="auto"/>
              <w:jc w:val="center"/>
              <w:rPr>
                <w:rFonts w:eastAsia="楷体_GB2312"/>
                <w:b/>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6EF0DDF0">
            <w:pPr>
              <w:widowControl/>
              <w:spacing w:line="360" w:lineRule="auto"/>
              <w:jc w:val="center"/>
              <w:rPr>
                <w:rFonts w:eastAsia="楷体_GB2312"/>
                <w:b/>
                <w:sz w:val="18"/>
                <w:szCs w:val="18"/>
                <w:lang w:eastAsia="zh-TW"/>
              </w:rPr>
            </w:pPr>
          </w:p>
        </w:tc>
        <w:tc>
          <w:tcPr>
            <w:tcW w:w="992" w:type="dxa"/>
            <w:tcBorders>
              <w:top w:val="single" w:color="auto" w:sz="4" w:space="0"/>
              <w:left w:val="single" w:color="auto" w:sz="4" w:space="0"/>
              <w:bottom w:val="single" w:color="auto" w:sz="4" w:space="0"/>
              <w:right w:val="single" w:color="auto" w:sz="4" w:space="0"/>
            </w:tcBorders>
          </w:tcPr>
          <w:p w14:paraId="297F287D">
            <w:pPr>
              <w:widowControl/>
              <w:spacing w:line="360" w:lineRule="auto"/>
              <w:jc w:val="center"/>
              <w:rPr>
                <w:rFonts w:eastAsia="楷体_GB2312"/>
                <w:b/>
                <w:sz w:val="18"/>
                <w:szCs w:val="18"/>
                <w:lang w:eastAsia="zh-TW"/>
              </w:rPr>
            </w:pPr>
          </w:p>
        </w:tc>
        <w:tc>
          <w:tcPr>
            <w:tcW w:w="1986" w:type="dxa"/>
            <w:tcBorders>
              <w:top w:val="single" w:color="auto" w:sz="4" w:space="0"/>
              <w:left w:val="single" w:color="auto" w:sz="4" w:space="0"/>
              <w:bottom w:val="single" w:color="auto" w:sz="4" w:space="0"/>
            </w:tcBorders>
          </w:tcPr>
          <w:p w14:paraId="0E411742">
            <w:pPr>
              <w:widowControl/>
              <w:spacing w:line="360" w:lineRule="auto"/>
              <w:jc w:val="center"/>
              <w:rPr>
                <w:rFonts w:eastAsia="楷体_GB2312"/>
                <w:b/>
                <w:sz w:val="18"/>
                <w:szCs w:val="18"/>
                <w:lang w:eastAsia="zh-TW"/>
              </w:rPr>
            </w:pPr>
          </w:p>
        </w:tc>
      </w:tr>
    </w:tbl>
    <w:p w14:paraId="364BACDF">
      <w:pPr>
        <w:rPr>
          <w:rFonts w:eastAsia="楷体_GB2312"/>
        </w:rPr>
      </w:pPr>
    </w:p>
    <w:p w14:paraId="1033BDB5">
      <w:pPr>
        <w:widowControl/>
        <w:jc w:val="left"/>
        <w:rPr>
          <w:rFonts w:eastAsia="楷体_GB2312"/>
        </w:rPr>
      </w:pPr>
      <w:r>
        <w:rPr>
          <w:rFonts w:eastAsia="楷体_GB2312"/>
        </w:rPr>
        <w:br w:type="page"/>
      </w:r>
    </w:p>
    <w:tbl>
      <w:tblPr>
        <w:tblStyle w:val="27"/>
        <w:tblW w:w="821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6"/>
        <w:gridCol w:w="1445"/>
        <w:gridCol w:w="1417"/>
        <w:gridCol w:w="1560"/>
        <w:gridCol w:w="1559"/>
      </w:tblGrid>
      <w:tr w14:paraId="50F08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single" w:color="auto" w:sz="4" w:space="0"/>
              <w:left w:val="single" w:color="auto" w:sz="4" w:space="0"/>
              <w:bottom w:val="single" w:color="auto" w:sz="4" w:space="0"/>
              <w:right w:val="single" w:color="auto" w:sz="4" w:space="0"/>
            </w:tcBorders>
          </w:tcPr>
          <w:p w14:paraId="2C01824D">
            <w:pPr>
              <w:widowControl/>
              <w:spacing w:line="360" w:lineRule="auto"/>
              <w:jc w:val="center"/>
              <w:rPr>
                <w:rFonts w:eastAsia="楷体_GB2312"/>
                <w:b/>
                <w:sz w:val="28"/>
              </w:rPr>
            </w:pPr>
            <w:r>
              <w:rPr>
                <w:rFonts w:eastAsia="楷体_GB2312"/>
              </w:rPr>
              <w:br w:type="page"/>
            </w:r>
            <w:r>
              <w:rPr>
                <w:rFonts w:eastAsia="楷体_GB2312"/>
                <w:b/>
                <w:sz w:val="28"/>
              </w:rPr>
              <w:t>【信托名称】受托机构报告</w:t>
            </w:r>
          </w:p>
        </w:tc>
      </w:tr>
      <w:tr w14:paraId="0F092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single" w:color="auto" w:sz="4" w:space="0"/>
              <w:left w:val="single" w:color="auto" w:sz="4" w:space="0"/>
              <w:bottom w:val="nil"/>
              <w:right w:val="single" w:color="auto" w:sz="4" w:space="0"/>
            </w:tcBorders>
          </w:tcPr>
          <w:p w14:paraId="37032758">
            <w:pPr>
              <w:widowControl/>
              <w:spacing w:line="360" w:lineRule="auto"/>
              <w:jc w:val="left"/>
              <w:rPr>
                <w:rFonts w:eastAsia="楷体_GB2312"/>
                <w:b/>
                <w:szCs w:val="21"/>
                <w:lang w:eastAsia="zh-TW"/>
              </w:rPr>
            </w:pPr>
            <w:r>
              <w:rPr>
                <w:rFonts w:eastAsia="楷体_GB2312"/>
                <w:b/>
                <w:szCs w:val="21"/>
                <w:lang w:eastAsia="zh-TW"/>
              </w:rPr>
              <w:t>三、资产池情况</w:t>
            </w:r>
          </w:p>
        </w:tc>
      </w:tr>
      <w:tr w14:paraId="056C7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17" w:type="dxa"/>
            <w:gridSpan w:val="5"/>
            <w:tcBorders>
              <w:top w:val="nil"/>
              <w:left w:val="single" w:color="auto" w:sz="4" w:space="0"/>
              <w:bottom w:val="single" w:color="auto" w:sz="4" w:space="0"/>
              <w:right w:val="single" w:color="auto" w:sz="4" w:space="0"/>
            </w:tcBorders>
          </w:tcPr>
          <w:p w14:paraId="6C4A9CC1">
            <w:pPr>
              <w:widowControl/>
              <w:spacing w:line="360" w:lineRule="auto"/>
              <w:rPr>
                <w:rFonts w:eastAsia="楷体_GB2312"/>
                <w:bCs/>
                <w:szCs w:val="21"/>
              </w:rPr>
            </w:pPr>
            <w:r>
              <w:rPr>
                <w:rFonts w:eastAsia="楷体_GB2312"/>
                <w:bCs/>
                <w:szCs w:val="21"/>
              </w:rPr>
              <w:t>（一）资产池整体表现情况：</w:t>
            </w:r>
          </w:p>
        </w:tc>
      </w:tr>
      <w:tr w14:paraId="6DADB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2D1FE698">
            <w:pPr>
              <w:widowControl/>
              <w:spacing w:line="360" w:lineRule="auto"/>
              <w:jc w:val="left"/>
              <w:rPr>
                <w:rFonts w:eastAsia="楷体_GB2312"/>
                <w:b/>
                <w:sz w:val="24"/>
                <w:lang w:eastAsia="zh-TW"/>
              </w:rPr>
            </w:pPr>
            <w:r>
              <w:rPr>
                <w:rFonts w:eastAsia="楷体_GB2312"/>
                <w:b/>
                <w:sz w:val="24"/>
                <w:lang w:eastAsia="zh-TW"/>
              </w:rPr>
              <w:t>科目</w:t>
            </w:r>
          </w:p>
        </w:tc>
        <w:tc>
          <w:tcPr>
            <w:tcW w:w="1445" w:type="dxa"/>
            <w:tcBorders>
              <w:top w:val="single" w:color="auto" w:sz="4" w:space="0"/>
              <w:left w:val="single" w:color="auto" w:sz="4" w:space="0"/>
              <w:bottom w:val="single" w:color="auto" w:sz="4" w:space="0"/>
              <w:right w:val="single" w:color="auto" w:sz="4" w:space="0"/>
            </w:tcBorders>
          </w:tcPr>
          <w:p w14:paraId="3BDE29E3">
            <w:pPr>
              <w:widowControl/>
              <w:spacing w:line="360" w:lineRule="auto"/>
              <w:jc w:val="center"/>
              <w:rPr>
                <w:rFonts w:eastAsia="楷体_GB2312"/>
                <w:b/>
                <w:sz w:val="18"/>
                <w:lang w:eastAsia="zh-TW"/>
              </w:rPr>
            </w:pPr>
            <w:r>
              <w:rPr>
                <w:rFonts w:eastAsia="楷体_GB2312"/>
                <w:b/>
                <w:sz w:val="18"/>
                <w:lang w:eastAsia="zh-TW"/>
              </w:rPr>
              <w:t>笔数</w:t>
            </w:r>
          </w:p>
        </w:tc>
        <w:tc>
          <w:tcPr>
            <w:tcW w:w="1417" w:type="dxa"/>
            <w:tcBorders>
              <w:top w:val="single" w:color="auto" w:sz="4" w:space="0"/>
              <w:left w:val="single" w:color="auto" w:sz="4" w:space="0"/>
              <w:bottom w:val="single" w:color="auto" w:sz="4" w:space="0"/>
              <w:right w:val="single" w:color="auto" w:sz="4" w:space="0"/>
            </w:tcBorders>
          </w:tcPr>
          <w:p w14:paraId="54F9CD0B">
            <w:pPr>
              <w:widowControl/>
              <w:spacing w:line="360" w:lineRule="auto"/>
              <w:jc w:val="center"/>
              <w:rPr>
                <w:rFonts w:eastAsia="楷体_GB2312"/>
                <w:b/>
                <w:sz w:val="18"/>
                <w:lang w:eastAsia="zh-TW"/>
              </w:rPr>
            </w:pPr>
            <w:r>
              <w:rPr>
                <w:rFonts w:eastAsia="楷体_GB2312"/>
                <w:b/>
                <w:sz w:val="18"/>
                <w:lang w:eastAsia="zh-TW"/>
              </w:rPr>
              <w:t>笔数占比</w:t>
            </w:r>
          </w:p>
        </w:tc>
        <w:tc>
          <w:tcPr>
            <w:tcW w:w="1560" w:type="dxa"/>
            <w:tcBorders>
              <w:top w:val="single" w:color="auto" w:sz="4" w:space="0"/>
              <w:left w:val="single" w:color="auto" w:sz="4" w:space="0"/>
              <w:bottom w:val="single" w:color="auto" w:sz="4" w:space="0"/>
              <w:right w:val="single" w:color="auto" w:sz="4" w:space="0"/>
            </w:tcBorders>
          </w:tcPr>
          <w:p w14:paraId="0E3C0833">
            <w:pPr>
              <w:widowControl/>
              <w:spacing w:line="360" w:lineRule="auto"/>
              <w:jc w:val="center"/>
              <w:rPr>
                <w:rFonts w:eastAsia="楷体_GB2312"/>
                <w:b/>
                <w:sz w:val="18"/>
                <w:lang w:eastAsia="zh-TW"/>
              </w:rPr>
            </w:pPr>
            <w:r>
              <w:rPr>
                <w:rFonts w:eastAsia="楷体_GB2312"/>
                <w:b/>
                <w:sz w:val="18"/>
                <w:lang w:eastAsia="zh-TW"/>
              </w:rPr>
              <w:t>金额</w:t>
            </w:r>
          </w:p>
        </w:tc>
        <w:tc>
          <w:tcPr>
            <w:tcW w:w="1559" w:type="dxa"/>
            <w:tcBorders>
              <w:top w:val="single" w:color="auto" w:sz="4" w:space="0"/>
              <w:left w:val="single" w:color="auto" w:sz="4" w:space="0"/>
              <w:bottom w:val="single" w:color="auto" w:sz="4" w:space="0"/>
              <w:right w:val="single" w:color="auto" w:sz="4" w:space="0"/>
            </w:tcBorders>
          </w:tcPr>
          <w:p w14:paraId="301340E7">
            <w:pPr>
              <w:widowControl/>
              <w:spacing w:line="360" w:lineRule="auto"/>
              <w:jc w:val="center"/>
              <w:rPr>
                <w:rFonts w:eastAsia="楷体_GB2312"/>
                <w:b/>
                <w:sz w:val="18"/>
                <w:lang w:eastAsia="zh-TW"/>
              </w:rPr>
            </w:pPr>
            <w:r>
              <w:rPr>
                <w:rFonts w:eastAsia="楷体_GB2312"/>
                <w:b/>
                <w:sz w:val="18"/>
                <w:lang w:eastAsia="zh-TW"/>
              </w:rPr>
              <w:t>金额占比</w:t>
            </w:r>
          </w:p>
        </w:tc>
      </w:tr>
      <w:tr w14:paraId="7121A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C3E8159">
            <w:pPr>
              <w:widowControl/>
              <w:spacing w:line="360" w:lineRule="auto"/>
              <w:jc w:val="left"/>
              <w:rPr>
                <w:rFonts w:eastAsia="楷体_GB2312"/>
                <w:sz w:val="18"/>
                <w:lang w:eastAsia="zh-TW"/>
              </w:rPr>
            </w:pPr>
            <w:r>
              <w:rPr>
                <w:rFonts w:eastAsia="楷体_GB2312"/>
                <w:sz w:val="18"/>
                <w:lang w:eastAsia="zh-TW"/>
              </w:rPr>
              <w:t>正常贷款</w:t>
            </w:r>
          </w:p>
        </w:tc>
        <w:tc>
          <w:tcPr>
            <w:tcW w:w="1445" w:type="dxa"/>
            <w:tcBorders>
              <w:top w:val="single" w:color="auto" w:sz="4" w:space="0"/>
              <w:left w:val="single" w:color="auto" w:sz="4" w:space="0"/>
              <w:bottom w:val="single" w:color="auto" w:sz="4" w:space="0"/>
              <w:right w:val="single" w:color="auto" w:sz="4" w:space="0"/>
            </w:tcBorders>
          </w:tcPr>
          <w:p w14:paraId="44F50621">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06F8EED1">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16EE7EB4">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567F6A66">
            <w:pPr>
              <w:widowControl/>
              <w:spacing w:line="360" w:lineRule="auto"/>
              <w:jc w:val="center"/>
              <w:rPr>
                <w:rFonts w:eastAsia="楷体_GB2312"/>
                <w:sz w:val="24"/>
                <w:lang w:eastAsia="zh-TW"/>
              </w:rPr>
            </w:pPr>
          </w:p>
        </w:tc>
      </w:tr>
      <w:tr w14:paraId="21EBC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440E589">
            <w:pPr>
              <w:widowControl/>
              <w:spacing w:line="360" w:lineRule="auto"/>
              <w:jc w:val="left"/>
              <w:rPr>
                <w:rFonts w:eastAsia="楷体_GB2312"/>
                <w:sz w:val="18"/>
                <w:lang w:eastAsia="zh-TW"/>
              </w:rPr>
            </w:pPr>
            <w:r>
              <w:rPr>
                <w:rFonts w:eastAsia="楷体_GB2312"/>
                <w:sz w:val="18"/>
                <w:lang w:eastAsia="zh-TW"/>
              </w:rPr>
              <w:t>拖欠1-30天贷款</w:t>
            </w:r>
          </w:p>
        </w:tc>
        <w:tc>
          <w:tcPr>
            <w:tcW w:w="1445" w:type="dxa"/>
            <w:tcBorders>
              <w:top w:val="single" w:color="auto" w:sz="4" w:space="0"/>
              <w:left w:val="single" w:color="auto" w:sz="4" w:space="0"/>
              <w:bottom w:val="single" w:color="auto" w:sz="4" w:space="0"/>
              <w:right w:val="single" w:color="auto" w:sz="4" w:space="0"/>
            </w:tcBorders>
          </w:tcPr>
          <w:p w14:paraId="38B28306">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3359573F">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0574CC1B">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6CC6CE78">
            <w:pPr>
              <w:widowControl/>
              <w:spacing w:line="360" w:lineRule="auto"/>
              <w:jc w:val="center"/>
              <w:rPr>
                <w:rFonts w:eastAsia="楷体_GB2312"/>
                <w:sz w:val="24"/>
                <w:lang w:eastAsia="zh-TW"/>
              </w:rPr>
            </w:pPr>
          </w:p>
        </w:tc>
      </w:tr>
      <w:tr w14:paraId="24F212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6D49E2F6">
            <w:pPr>
              <w:widowControl/>
              <w:spacing w:line="360" w:lineRule="auto"/>
              <w:jc w:val="left"/>
              <w:rPr>
                <w:rFonts w:eastAsia="楷体_GB2312"/>
                <w:sz w:val="18"/>
                <w:lang w:eastAsia="zh-TW"/>
              </w:rPr>
            </w:pPr>
            <w:r>
              <w:rPr>
                <w:rFonts w:eastAsia="楷体_GB2312"/>
                <w:sz w:val="18"/>
                <w:lang w:eastAsia="zh-TW"/>
              </w:rPr>
              <w:t>拖欠31-60天贷款</w:t>
            </w:r>
          </w:p>
        </w:tc>
        <w:tc>
          <w:tcPr>
            <w:tcW w:w="1445" w:type="dxa"/>
            <w:tcBorders>
              <w:top w:val="single" w:color="auto" w:sz="4" w:space="0"/>
              <w:left w:val="single" w:color="auto" w:sz="4" w:space="0"/>
              <w:bottom w:val="single" w:color="auto" w:sz="4" w:space="0"/>
              <w:right w:val="single" w:color="auto" w:sz="4" w:space="0"/>
            </w:tcBorders>
          </w:tcPr>
          <w:p w14:paraId="4694D939">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575E423D">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561FF287">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22A8131D">
            <w:pPr>
              <w:widowControl/>
              <w:spacing w:line="360" w:lineRule="auto"/>
              <w:jc w:val="center"/>
              <w:rPr>
                <w:rFonts w:eastAsia="楷体_GB2312"/>
                <w:sz w:val="24"/>
                <w:lang w:eastAsia="zh-TW"/>
              </w:rPr>
            </w:pPr>
          </w:p>
        </w:tc>
      </w:tr>
      <w:tr w14:paraId="5D869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75CA34CC">
            <w:pPr>
              <w:widowControl/>
              <w:spacing w:line="360" w:lineRule="auto"/>
              <w:jc w:val="left"/>
              <w:rPr>
                <w:rFonts w:eastAsia="楷体_GB2312"/>
                <w:sz w:val="18"/>
                <w:lang w:eastAsia="zh-TW"/>
              </w:rPr>
            </w:pPr>
            <w:r>
              <w:rPr>
                <w:rFonts w:eastAsia="楷体_GB2312"/>
                <w:sz w:val="18"/>
                <w:lang w:eastAsia="zh-TW"/>
              </w:rPr>
              <w:t>拖欠61-90天贷款</w:t>
            </w:r>
          </w:p>
        </w:tc>
        <w:tc>
          <w:tcPr>
            <w:tcW w:w="1445" w:type="dxa"/>
            <w:tcBorders>
              <w:top w:val="single" w:color="auto" w:sz="4" w:space="0"/>
              <w:left w:val="single" w:color="auto" w:sz="4" w:space="0"/>
              <w:bottom w:val="single" w:color="auto" w:sz="4" w:space="0"/>
              <w:right w:val="single" w:color="auto" w:sz="4" w:space="0"/>
            </w:tcBorders>
          </w:tcPr>
          <w:p w14:paraId="69585CC2">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7DEB78FB">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4D8D34B6">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3D2C09F3">
            <w:pPr>
              <w:widowControl/>
              <w:spacing w:line="360" w:lineRule="auto"/>
              <w:jc w:val="center"/>
              <w:rPr>
                <w:rFonts w:eastAsia="楷体_GB2312"/>
                <w:sz w:val="24"/>
                <w:lang w:eastAsia="zh-TW"/>
              </w:rPr>
            </w:pPr>
          </w:p>
        </w:tc>
      </w:tr>
      <w:tr w14:paraId="202B25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0F1BA07E">
            <w:pPr>
              <w:widowControl/>
              <w:spacing w:line="360" w:lineRule="auto"/>
              <w:jc w:val="left"/>
              <w:rPr>
                <w:rFonts w:eastAsia="楷体_GB2312"/>
                <w:sz w:val="18"/>
                <w:lang w:eastAsia="zh-TW"/>
              </w:rPr>
            </w:pPr>
            <w:r>
              <w:rPr>
                <w:rFonts w:eastAsia="楷体_GB2312"/>
                <w:sz w:val="18"/>
                <w:lang w:eastAsia="zh-TW"/>
              </w:rPr>
              <w:t>拖欠9</w:t>
            </w:r>
            <w:r>
              <w:rPr>
                <w:rFonts w:eastAsia="楷体_GB2312"/>
                <w:sz w:val="18"/>
              </w:rPr>
              <w:t>0</w:t>
            </w:r>
            <w:r>
              <w:rPr>
                <w:rFonts w:eastAsia="楷体_GB2312"/>
                <w:sz w:val="18"/>
                <w:lang w:eastAsia="zh-TW"/>
              </w:rPr>
              <w:t>天以上贷款</w:t>
            </w:r>
          </w:p>
        </w:tc>
        <w:tc>
          <w:tcPr>
            <w:tcW w:w="1445" w:type="dxa"/>
            <w:tcBorders>
              <w:top w:val="single" w:color="auto" w:sz="4" w:space="0"/>
              <w:left w:val="single" w:color="auto" w:sz="4" w:space="0"/>
              <w:bottom w:val="single" w:color="auto" w:sz="4" w:space="0"/>
              <w:right w:val="single" w:color="auto" w:sz="4" w:space="0"/>
            </w:tcBorders>
          </w:tcPr>
          <w:p w14:paraId="31E8C79C">
            <w:pPr>
              <w:widowControl/>
              <w:spacing w:line="360" w:lineRule="auto"/>
              <w:jc w:val="center"/>
              <w:rPr>
                <w:rFonts w:eastAsia="楷体_GB2312"/>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4A3E6A3D">
            <w:pPr>
              <w:widowControl/>
              <w:spacing w:line="360" w:lineRule="auto"/>
              <w:jc w:val="center"/>
              <w:rPr>
                <w:rFonts w:eastAsia="楷体_GB2312"/>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577E7356">
            <w:pPr>
              <w:widowControl/>
              <w:spacing w:line="360" w:lineRule="auto"/>
              <w:jc w:val="center"/>
              <w:rPr>
                <w:rFonts w:eastAsia="楷体_GB2312"/>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291B8788">
            <w:pPr>
              <w:widowControl/>
              <w:spacing w:line="360" w:lineRule="auto"/>
              <w:jc w:val="center"/>
              <w:rPr>
                <w:rFonts w:eastAsia="楷体_GB2312"/>
                <w:sz w:val="24"/>
                <w:lang w:eastAsia="zh-TW"/>
              </w:rPr>
            </w:pPr>
          </w:p>
        </w:tc>
      </w:tr>
      <w:tr w14:paraId="1B459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244C955">
            <w:pPr>
              <w:widowControl/>
              <w:spacing w:line="360" w:lineRule="auto"/>
              <w:jc w:val="left"/>
              <w:rPr>
                <w:rFonts w:eastAsia="楷体_GB2312"/>
                <w:sz w:val="18"/>
              </w:rPr>
            </w:pPr>
            <w:r>
              <w:rPr>
                <w:rFonts w:eastAsia="楷体_GB2312"/>
                <w:sz w:val="18"/>
              </w:rPr>
              <w:t>赎回、收购或替换贷款</w:t>
            </w:r>
          </w:p>
        </w:tc>
        <w:tc>
          <w:tcPr>
            <w:tcW w:w="1445" w:type="dxa"/>
            <w:tcBorders>
              <w:top w:val="single" w:color="auto" w:sz="4" w:space="0"/>
              <w:left w:val="single" w:color="auto" w:sz="4" w:space="0"/>
              <w:bottom w:val="single" w:color="auto" w:sz="4" w:space="0"/>
              <w:right w:val="single" w:color="auto" w:sz="4" w:space="0"/>
            </w:tcBorders>
          </w:tcPr>
          <w:p w14:paraId="13ECA157">
            <w:pPr>
              <w:widowControl/>
              <w:spacing w:line="360" w:lineRule="auto"/>
              <w:jc w:val="center"/>
              <w:rPr>
                <w:rFonts w:eastAsia="楷体_GB2312"/>
              </w:rPr>
            </w:pPr>
          </w:p>
        </w:tc>
        <w:tc>
          <w:tcPr>
            <w:tcW w:w="1417" w:type="dxa"/>
            <w:tcBorders>
              <w:top w:val="single" w:color="auto" w:sz="4" w:space="0"/>
              <w:left w:val="single" w:color="auto" w:sz="4" w:space="0"/>
              <w:bottom w:val="single" w:color="auto" w:sz="4" w:space="0"/>
              <w:right w:val="single" w:color="auto" w:sz="4" w:space="0"/>
            </w:tcBorders>
          </w:tcPr>
          <w:p w14:paraId="77F649D0">
            <w:pPr>
              <w:widowControl/>
              <w:spacing w:line="360" w:lineRule="auto"/>
              <w:jc w:val="center"/>
              <w:rPr>
                <w:rFonts w:eastAsia="楷体_GB2312"/>
              </w:rPr>
            </w:pPr>
          </w:p>
        </w:tc>
        <w:tc>
          <w:tcPr>
            <w:tcW w:w="1560" w:type="dxa"/>
            <w:tcBorders>
              <w:top w:val="single" w:color="auto" w:sz="4" w:space="0"/>
              <w:left w:val="single" w:color="auto" w:sz="4" w:space="0"/>
              <w:bottom w:val="single" w:color="auto" w:sz="4" w:space="0"/>
              <w:right w:val="single" w:color="auto" w:sz="4" w:space="0"/>
            </w:tcBorders>
          </w:tcPr>
          <w:p w14:paraId="3E7AAE25">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03778568">
            <w:pPr>
              <w:widowControl/>
              <w:spacing w:line="360" w:lineRule="auto"/>
              <w:jc w:val="center"/>
              <w:rPr>
                <w:rFonts w:eastAsia="楷体_GB2312"/>
              </w:rPr>
            </w:pPr>
          </w:p>
        </w:tc>
      </w:tr>
      <w:tr w14:paraId="72200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217" w:type="dxa"/>
            <w:gridSpan w:val="5"/>
            <w:tcBorders>
              <w:top w:val="single" w:color="auto" w:sz="4" w:space="0"/>
              <w:left w:val="single" w:color="auto" w:sz="4" w:space="0"/>
              <w:bottom w:val="single" w:color="auto" w:sz="4" w:space="0"/>
              <w:right w:val="single" w:color="auto" w:sz="4" w:space="0"/>
            </w:tcBorders>
          </w:tcPr>
          <w:p w14:paraId="56C8D855">
            <w:pPr>
              <w:widowControl/>
              <w:spacing w:line="360" w:lineRule="auto"/>
              <w:jc w:val="left"/>
              <w:rPr>
                <w:rFonts w:eastAsia="楷体_GB2312"/>
                <w:bCs/>
                <w:szCs w:val="21"/>
              </w:rPr>
            </w:pPr>
            <w:r>
              <w:rPr>
                <w:rFonts w:eastAsia="楷体_GB2312"/>
                <w:bCs/>
                <w:szCs w:val="21"/>
              </w:rPr>
              <w:t>（二）本期新增违约贷款情况</w:t>
            </w:r>
          </w:p>
        </w:tc>
      </w:tr>
      <w:tr w14:paraId="08104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vMerge w:val="restart"/>
            <w:tcBorders>
              <w:top w:val="single" w:color="auto" w:sz="4" w:space="0"/>
              <w:left w:val="single" w:color="auto" w:sz="4" w:space="0"/>
              <w:bottom w:val="single" w:color="auto" w:sz="4" w:space="0"/>
              <w:right w:val="single" w:color="auto" w:sz="4" w:space="0"/>
            </w:tcBorders>
          </w:tcPr>
          <w:p w14:paraId="51FE64BB">
            <w:pPr>
              <w:widowControl/>
              <w:spacing w:line="360" w:lineRule="auto"/>
              <w:jc w:val="left"/>
              <w:rPr>
                <w:rFonts w:eastAsia="楷体_GB2312"/>
                <w:sz w:val="18"/>
              </w:rPr>
            </w:pPr>
          </w:p>
        </w:tc>
        <w:tc>
          <w:tcPr>
            <w:tcW w:w="2862" w:type="dxa"/>
            <w:gridSpan w:val="2"/>
            <w:tcBorders>
              <w:top w:val="single" w:color="auto" w:sz="4" w:space="0"/>
              <w:left w:val="single" w:color="auto" w:sz="4" w:space="0"/>
              <w:bottom w:val="single" w:color="auto" w:sz="4" w:space="0"/>
              <w:right w:val="single" w:color="auto" w:sz="4" w:space="0"/>
            </w:tcBorders>
          </w:tcPr>
          <w:p w14:paraId="276B460F">
            <w:pPr>
              <w:widowControl/>
              <w:spacing w:line="360" w:lineRule="auto"/>
              <w:jc w:val="center"/>
              <w:rPr>
                <w:rFonts w:eastAsia="楷体_GB2312"/>
                <w:b/>
                <w:sz w:val="18"/>
                <w:lang w:eastAsia="zh-TW"/>
              </w:rPr>
            </w:pPr>
            <w:r>
              <w:rPr>
                <w:rFonts w:eastAsia="楷体_GB2312"/>
                <w:b/>
                <w:sz w:val="18"/>
                <w:szCs w:val="18"/>
                <w:lang w:eastAsia="zh-TW"/>
              </w:rPr>
              <w:t>本期</w:t>
            </w:r>
          </w:p>
        </w:tc>
        <w:tc>
          <w:tcPr>
            <w:tcW w:w="3119" w:type="dxa"/>
            <w:gridSpan w:val="2"/>
            <w:tcBorders>
              <w:top w:val="single" w:color="auto" w:sz="4" w:space="0"/>
              <w:left w:val="single" w:color="auto" w:sz="4" w:space="0"/>
              <w:bottom w:val="single" w:color="auto" w:sz="4" w:space="0"/>
              <w:right w:val="single" w:color="auto" w:sz="4" w:space="0"/>
            </w:tcBorders>
          </w:tcPr>
          <w:p w14:paraId="596B650B">
            <w:pPr>
              <w:widowControl/>
              <w:spacing w:line="360" w:lineRule="auto"/>
              <w:jc w:val="center"/>
              <w:rPr>
                <w:rFonts w:eastAsia="楷体_GB2312"/>
                <w:b/>
                <w:sz w:val="18"/>
                <w:lang w:eastAsia="zh-TW"/>
              </w:rPr>
            </w:pPr>
            <w:r>
              <w:rPr>
                <w:rFonts w:eastAsia="楷体_GB2312"/>
                <w:b/>
                <w:sz w:val="18"/>
                <w:szCs w:val="18"/>
                <w:lang w:eastAsia="zh-TW"/>
              </w:rPr>
              <w:t>上一期</w:t>
            </w:r>
          </w:p>
        </w:tc>
      </w:tr>
      <w:tr w14:paraId="61D2BA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vMerge w:val="continue"/>
            <w:tcBorders>
              <w:top w:val="single" w:color="auto" w:sz="4" w:space="0"/>
              <w:left w:val="single" w:color="auto" w:sz="4" w:space="0"/>
              <w:bottom w:val="single" w:color="auto" w:sz="4" w:space="0"/>
              <w:right w:val="single" w:color="auto" w:sz="4" w:space="0"/>
            </w:tcBorders>
            <w:vAlign w:val="center"/>
          </w:tcPr>
          <w:p w14:paraId="74A65FF0">
            <w:pPr>
              <w:widowControl/>
              <w:jc w:val="left"/>
              <w:rPr>
                <w:rFonts w:eastAsia="楷体_GB2312"/>
                <w:sz w:val="18"/>
                <w:lang w:eastAsia="zh-TW"/>
              </w:rPr>
            </w:pPr>
          </w:p>
        </w:tc>
        <w:tc>
          <w:tcPr>
            <w:tcW w:w="1445" w:type="dxa"/>
            <w:tcBorders>
              <w:top w:val="single" w:color="auto" w:sz="4" w:space="0"/>
              <w:left w:val="single" w:color="auto" w:sz="4" w:space="0"/>
              <w:bottom w:val="single" w:color="auto" w:sz="4" w:space="0"/>
              <w:right w:val="single" w:color="auto" w:sz="4" w:space="0"/>
            </w:tcBorders>
          </w:tcPr>
          <w:p w14:paraId="2DBB8362">
            <w:pPr>
              <w:widowControl/>
              <w:spacing w:line="360" w:lineRule="auto"/>
              <w:jc w:val="center"/>
              <w:rPr>
                <w:rFonts w:eastAsia="楷体_GB2312"/>
                <w:b/>
                <w:sz w:val="18"/>
                <w:lang w:eastAsia="zh-TW"/>
              </w:rPr>
            </w:pPr>
            <w:r>
              <w:rPr>
                <w:rFonts w:eastAsia="楷体_GB2312"/>
                <w:b/>
                <w:sz w:val="18"/>
                <w:szCs w:val="18"/>
                <w:lang w:eastAsia="zh-TW"/>
              </w:rPr>
              <w:t>笔数</w:t>
            </w:r>
          </w:p>
        </w:tc>
        <w:tc>
          <w:tcPr>
            <w:tcW w:w="1417" w:type="dxa"/>
            <w:tcBorders>
              <w:top w:val="single" w:color="auto" w:sz="4" w:space="0"/>
              <w:left w:val="single" w:color="auto" w:sz="4" w:space="0"/>
              <w:bottom w:val="single" w:color="auto" w:sz="4" w:space="0"/>
              <w:right w:val="single" w:color="auto" w:sz="4" w:space="0"/>
            </w:tcBorders>
          </w:tcPr>
          <w:p w14:paraId="0DAC108F">
            <w:pPr>
              <w:widowControl/>
              <w:spacing w:line="360" w:lineRule="auto"/>
              <w:jc w:val="center"/>
              <w:rPr>
                <w:rFonts w:eastAsia="楷体_GB2312"/>
                <w:b/>
                <w:sz w:val="18"/>
              </w:rPr>
            </w:pPr>
            <w:r>
              <w:rPr>
                <w:rFonts w:eastAsia="楷体_GB2312"/>
                <w:b/>
                <w:sz w:val="18"/>
                <w:szCs w:val="18"/>
                <w:lang w:eastAsia="zh-TW"/>
              </w:rPr>
              <w:t>金额</w:t>
            </w:r>
          </w:p>
        </w:tc>
        <w:tc>
          <w:tcPr>
            <w:tcW w:w="1560" w:type="dxa"/>
            <w:tcBorders>
              <w:top w:val="single" w:color="auto" w:sz="4" w:space="0"/>
              <w:left w:val="single" w:color="auto" w:sz="4" w:space="0"/>
              <w:bottom w:val="single" w:color="auto" w:sz="4" w:space="0"/>
              <w:right w:val="single" w:color="auto" w:sz="4" w:space="0"/>
            </w:tcBorders>
          </w:tcPr>
          <w:p w14:paraId="1D03FC24">
            <w:pPr>
              <w:widowControl/>
              <w:spacing w:line="360" w:lineRule="auto"/>
              <w:jc w:val="center"/>
              <w:rPr>
                <w:rFonts w:eastAsia="楷体_GB2312"/>
                <w:b/>
                <w:sz w:val="18"/>
              </w:rPr>
            </w:pPr>
            <w:r>
              <w:rPr>
                <w:rFonts w:eastAsia="楷体_GB2312"/>
                <w:b/>
                <w:sz w:val="18"/>
                <w:szCs w:val="18"/>
                <w:lang w:eastAsia="zh-TW"/>
              </w:rPr>
              <w:t>笔数</w:t>
            </w:r>
          </w:p>
        </w:tc>
        <w:tc>
          <w:tcPr>
            <w:tcW w:w="1559" w:type="dxa"/>
            <w:tcBorders>
              <w:top w:val="single" w:color="auto" w:sz="4" w:space="0"/>
              <w:left w:val="single" w:color="auto" w:sz="4" w:space="0"/>
              <w:bottom w:val="single" w:color="auto" w:sz="4" w:space="0"/>
              <w:right w:val="single" w:color="auto" w:sz="4" w:space="0"/>
            </w:tcBorders>
          </w:tcPr>
          <w:p w14:paraId="3CECC1C7">
            <w:pPr>
              <w:widowControl/>
              <w:spacing w:line="360" w:lineRule="auto"/>
              <w:jc w:val="center"/>
              <w:rPr>
                <w:rFonts w:eastAsia="楷体_GB2312"/>
                <w:b/>
                <w:sz w:val="18"/>
              </w:rPr>
            </w:pPr>
            <w:r>
              <w:rPr>
                <w:rFonts w:eastAsia="楷体_GB2312"/>
                <w:b/>
                <w:sz w:val="18"/>
                <w:szCs w:val="18"/>
                <w:lang w:eastAsia="zh-TW"/>
              </w:rPr>
              <w:t>金额</w:t>
            </w:r>
          </w:p>
        </w:tc>
      </w:tr>
      <w:tr w14:paraId="459B8F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6C55E7B9">
            <w:pPr>
              <w:widowControl/>
              <w:spacing w:line="360" w:lineRule="auto"/>
              <w:rPr>
                <w:rFonts w:eastAsia="楷体_GB2312"/>
                <w:sz w:val="18"/>
                <w:szCs w:val="18"/>
              </w:rPr>
            </w:pPr>
            <w:r>
              <w:rPr>
                <w:rFonts w:eastAsia="楷体_GB2312"/>
                <w:sz w:val="18"/>
                <w:szCs w:val="18"/>
              </w:rPr>
              <w:t>新增拖欠超过90</w:t>
            </w:r>
            <w:r>
              <w:rPr>
                <w:rFonts w:eastAsia="楷体_GB2312"/>
                <w:szCs w:val="21"/>
              </w:rPr>
              <w:t>日</w:t>
            </w:r>
            <w:r>
              <w:rPr>
                <w:rFonts w:eastAsia="楷体_GB2312"/>
                <w:sz w:val="18"/>
                <w:szCs w:val="18"/>
              </w:rPr>
              <w:t>（不含90</w:t>
            </w:r>
            <w:r>
              <w:rPr>
                <w:rFonts w:eastAsia="楷体_GB2312"/>
                <w:szCs w:val="21"/>
              </w:rPr>
              <w:t>日</w:t>
            </w:r>
            <w:r>
              <w:rPr>
                <w:rFonts w:eastAsia="楷体_GB2312"/>
                <w:sz w:val="18"/>
                <w:szCs w:val="18"/>
              </w:rPr>
              <w:t>）的贷款</w:t>
            </w:r>
          </w:p>
        </w:tc>
        <w:tc>
          <w:tcPr>
            <w:tcW w:w="1445" w:type="dxa"/>
            <w:tcBorders>
              <w:top w:val="single" w:color="auto" w:sz="4" w:space="0"/>
              <w:left w:val="single" w:color="auto" w:sz="4" w:space="0"/>
              <w:bottom w:val="single" w:color="auto" w:sz="4" w:space="0"/>
              <w:right w:val="single" w:color="auto" w:sz="4" w:space="0"/>
            </w:tcBorders>
          </w:tcPr>
          <w:p w14:paraId="36A79174">
            <w:pPr>
              <w:widowControl/>
              <w:spacing w:line="360" w:lineRule="auto"/>
              <w:jc w:val="center"/>
              <w:rPr>
                <w:rFonts w:eastAsia="楷体_GB2312"/>
                <w:sz w:val="24"/>
              </w:rPr>
            </w:pPr>
          </w:p>
        </w:tc>
        <w:tc>
          <w:tcPr>
            <w:tcW w:w="1417" w:type="dxa"/>
            <w:tcBorders>
              <w:top w:val="single" w:color="auto" w:sz="4" w:space="0"/>
              <w:left w:val="single" w:color="auto" w:sz="4" w:space="0"/>
              <w:bottom w:val="single" w:color="auto" w:sz="4" w:space="0"/>
              <w:right w:val="single" w:color="auto" w:sz="4" w:space="0"/>
            </w:tcBorders>
          </w:tcPr>
          <w:p w14:paraId="5583E2AF">
            <w:pPr>
              <w:widowControl/>
              <w:spacing w:line="360" w:lineRule="auto"/>
              <w:jc w:val="center"/>
              <w:rPr>
                <w:rFonts w:eastAsia="楷体_GB2312"/>
                <w:sz w:val="24"/>
              </w:rPr>
            </w:pPr>
          </w:p>
        </w:tc>
        <w:tc>
          <w:tcPr>
            <w:tcW w:w="1560" w:type="dxa"/>
            <w:tcBorders>
              <w:top w:val="single" w:color="auto" w:sz="4" w:space="0"/>
              <w:left w:val="single" w:color="auto" w:sz="4" w:space="0"/>
              <w:bottom w:val="single" w:color="auto" w:sz="4" w:space="0"/>
              <w:right w:val="single" w:color="auto" w:sz="4" w:space="0"/>
            </w:tcBorders>
          </w:tcPr>
          <w:p w14:paraId="3F9C41B8">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68920A21">
            <w:pPr>
              <w:widowControl/>
              <w:spacing w:line="360" w:lineRule="auto"/>
              <w:jc w:val="center"/>
              <w:rPr>
                <w:rFonts w:eastAsia="楷体_GB2312"/>
                <w:sz w:val="24"/>
              </w:rPr>
            </w:pPr>
          </w:p>
        </w:tc>
      </w:tr>
      <w:tr w14:paraId="265EA7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7BDBD59E">
            <w:pPr>
              <w:widowControl/>
              <w:spacing w:line="360" w:lineRule="auto"/>
              <w:rPr>
                <w:rFonts w:eastAsia="楷体_GB2312"/>
                <w:sz w:val="18"/>
              </w:rPr>
            </w:pPr>
            <w:r>
              <w:rPr>
                <w:rFonts w:eastAsia="楷体_GB2312"/>
                <w:sz w:val="18"/>
                <w:szCs w:val="18"/>
              </w:rPr>
              <w:t>为避免“抵押贷款”拖欠或违约，予以重组或展期的贷款（但根据“《服务合同》”第【】款约定予以延期的“抵押贷款”除外）</w:t>
            </w:r>
          </w:p>
        </w:tc>
        <w:tc>
          <w:tcPr>
            <w:tcW w:w="1445" w:type="dxa"/>
            <w:tcBorders>
              <w:top w:val="single" w:color="auto" w:sz="4" w:space="0"/>
              <w:left w:val="single" w:color="auto" w:sz="4" w:space="0"/>
              <w:bottom w:val="single" w:color="auto" w:sz="4" w:space="0"/>
              <w:right w:val="single" w:color="auto" w:sz="4" w:space="0"/>
            </w:tcBorders>
          </w:tcPr>
          <w:p w14:paraId="3B9F053C">
            <w:pPr>
              <w:widowControl/>
              <w:spacing w:line="360" w:lineRule="auto"/>
              <w:jc w:val="center"/>
              <w:rPr>
                <w:rFonts w:eastAsia="楷体_GB2312"/>
                <w:sz w:val="24"/>
              </w:rPr>
            </w:pPr>
          </w:p>
        </w:tc>
        <w:tc>
          <w:tcPr>
            <w:tcW w:w="1417" w:type="dxa"/>
            <w:tcBorders>
              <w:top w:val="single" w:color="auto" w:sz="4" w:space="0"/>
              <w:left w:val="single" w:color="auto" w:sz="4" w:space="0"/>
              <w:bottom w:val="single" w:color="auto" w:sz="4" w:space="0"/>
              <w:right w:val="single" w:color="auto" w:sz="4" w:space="0"/>
            </w:tcBorders>
          </w:tcPr>
          <w:p w14:paraId="5E98ABEE">
            <w:pPr>
              <w:widowControl/>
              <w:spacing w:line="360" w:lineRule="auto"/>
              <w:jc w:val="center"/>
              <w:rPr>
                <w:rFonts w:eastAsia="楷体_GB2312"/>
                <w:sz w:val="24"/>
              </w:rPr>
            </w:pPr>
          </w:p>
        </w:tc>
        <w:tc>
          <w:tcPr>
            <w:tcW w:w="1560" w:type="dxa"/>
            <w:tcBorders>
              <w:top w:val="single" w:color="auto" w:sz="4" w:space="0"/>
              <w:left w:val="single" w:color="auto" w:sz="4" w:space="0"/>
              <w:bottom w:val="single" w:color="auto" w:sz="4" w:space="0"/>
              <w:right w:val="single" w:color="auto" w:sz="4" w:space="0"/>
            </w:tcBorders>
          </w:tcPr>
          <w:p w14:paraId="2208C133">
            <w:pPr>
              <w:widowControl/>
              <w:spacing w:line="360" w:lineRule="auto"/>
              <w:jc w:val="center"/>
              <w:rPr>
                <w:rFonts w:eastAsia="楷体_GB2312"/>
                <w:sz w:val="24"/>
              </w:rPr>
            </w:pPr>
          </w:p>
        </w:tc>
        <w:tc>
          <w:tcPr>
            <w:tcW w:w="1559" w:type="dxa"/>
            <w:tcBorders>
              <w:top w:val="single" w:color="auto" w:sz="4" w:space="0"/>
              <w:left w:val="single" w:color="auto" w:sz="4" w:space="0"/>
              <w:bottom w:val="single" w:color="auto" w:sz="4" w:space="0"/>
              <w:right w:val="single" w:color="auto" w:sz="4" w:space="0"/>
            </w:tcBorders>
          </w:tcPr>
          <w:p w14:paraId="44E87F0B">
            <w:pPr>
              <w:widowControl/>
              <w:spacing w:line="360" w:lineRule="auto"/>
              <w:jc w:val="center"/>
              <w:rPr>
                <w:rFonts w:eastAsia="楷体_GB2312"/>
                <w:sz w:val="24"/>
              </w:rPr>
            </w:pPr>
          </w:p>
        </w:tc>
      </w:tr>
      <w:tr w14:paraId="1F180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18549503">
            <w:pPr>
              <w:widowControl/>
              <w:spacing w:line="360" w:lineRule="auto"/>
              <w:rPr>
                <w:rFonts w:eastAsia="楷体_GB2312"/>
                <w:sz w:val="18"/>
              </w:rPr>
            </w:pPr>
            <w:r>
              <w:rPr>
                <w:rFonts w:eastAsia="楷体_GB2312"/>
                <w:sz w:val="18"/>
                <w:szCs w:val="18"/>
              </w:rPr>
              <w:t>除以上二项外，“贷款服务机构”根据其内部标准管理程序认定为损失类的贷款</w:t>
            </w:r>
          </w:p>
        </w:tc>
        <w:tc>
          <w:tcPr>
            <w:tcW w:w="1445" w:type="dxa"/>
            <w:tcBorders>
              <w:top w:val="single" w:color="auto" w:sz="4" w:space="0"/>
              <w:left w:val="single" w:color="auto" w:sz="4" w:space="0"/>
              <w:bottom w:val="single" w:color="auto" w:sz="4" w:space="0"/>
              <w:right w:val="single" w:color="auto" w:sz="4" w:space="0"/>
            </w:tcBorders>
          </w:tcPr>
          <w:p w14:paraId="7FE547C9">
            <w:pPr>
              <w:widowControl/>
              <w:spacing w:line="360" w:lineRule="auto"/>
              <w:jc w:val="center"/>
              <w:rPr>
                <w:rFonts w:eastAsia="楷体_GB2312"/>
              </w:rPr>
            </w:pPr>
          </w:p>
        </w:tc>
        <w:tc>
          <w:tcPr>
            <w:tcW w:w="1417" w:type="dxa"/>
            <w:tcBorders>
              <w:top w:val="single" w:color="auto" w:sz="4" w:space="0"/>
              <w:left w:val="single" w:color="auto" w:sz="4" w:space="0"/>
              <w:bottom w:val="single" w:color="auto" w:sz="4" w:space="0"/>
              <w:right w:val="single" w:color="auto" w:sz="4" w:space="0"/>
            </w:tcBorders>
          </w:tcPr>
          <w:p w14:paraId="19FFF6F6">
            <w:pPr>
              <w:widowControl/>
              <w:spacing w:line="360" w:lineRule="auto"/>
              <w:jc w:val="center"/>
              <w:rPr>
                <w:rFonts w:eastAsia="楷体_GB2312"/>
              </w:rPr>
            </w:pPr>
          </w:p>
        </w:tc>
        <w:tc>
          <w:tcPr>
            <w:tcW w:w="1560" w:type="dxa"/>
            <w:tcBorders>
              <w:top w:val="single" w:color="auto" w:sz="4" w:space="0"/>
              <w:left w:val="single" w:color="auto" w:sz="4" w:space="0"/>
              <w:bottom w:val="single" w:color="auto" w:sz="4" w:space="0"/>
              <w:right w:val="single" w:color="auto" w:sz="4" w:space="0"/>
            </w:tcBorders>
          </w:tcPr>
          <w:p w14:paraId="0BB20879">
            <w:pPr>
              <w:widowControl/>
              <w:spacing w:line="360" w:lineRule="auto"/>
              <w:jc w:val="center"/>
              <w:rPr>
                <w:rFonts w:eastAsia="楷体_GB2312"/>
              </w:rPr>
            </w:pPr>
          </w:p>
        </w:tc>
        <w:tc>
          <w:tcPr>
            <w:tcW w:w="1559" w:type="dxa"/>
            <w:tcBorders>
              <w:top w:val="single" w:color="auto" w:sz="4" w:space="0"/>
              <w:left w:val="single" w:color="auto" w:sz="4" w:space="0"/>
              <w:bottom w:val="single" w:color="auto" w:sz="4" w:space="0"/>
              <w:right w:val="single" w:color="auto" w:sz="4" w:space="0"/>
            </w:tcBorders>
          </w:tcPr>
          <w:p w14:paraId="47FBB9E9">
            <w:pPr>
              <w:widowControl/>
              <w:spacing w:line="360" w:lineRule="auto"/>
              <w:jc w:val="center"/>
              <w:rPr>
                <w:rFonts w:eastAsia="楷体_GB2312"/>
              </w:rPr>
            </w:pPr>
          </w:p>
        </w:tc>
      </w:tr>
      <w:tr w14:paraId="2590ED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 w:hRule="atLeast"/>
        </w:trPr>
        <w:tc>
          <w:tcPr>
            <w:tcW w:w="8217" w:type="dxa"/>
            <w:gridSpan w:val="5"/>
            <w:tcBorders>
              <w:top w:val="single" w:color="auto" w:sz="4" w:space="0"/>
              <w:left w:val="single" w:color="auto" w:sz="4" w:space="0"/>
              <w:bottom w:val="single" w:color="auto" w:sz="4" w:space="0"/>
              <w:right w:val="single" w:color="auto" w:sz="4" w:space="0"/>
            </w:tcBorders>
          </w:tcPr>
          <w:p w14:paraId="773ACB29">
            <w:pPr>
              <w:widowControl/>
              <w:spacing w:line="360" w:lineRule="auto"/>
              <w:jc w:val="left"/>
              <w:rPr>
                <w:rFonts w:eastAsia="楷体_GB2312"/>
                <w:bCs/>
                <w:szCs w:val="21"/>
              </w:rPr>
            </w:pPr>
            <w:r>
              <w:rPr>
                <w:rFonts w:eastAsia="楷体_GB2312"/>
                <w:bCs/>
                <w:szCs w:val="21"/>
              </w:rPr>
              <w:t>（三）违约贷款处置情况</w:t>
            </w:r>
          </w:p>
        </w:tc>
      </w:tr>
      <w:tr w14:paraId="6D9A3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43EA150D">
            <w:pPr>
              <w:widowControl/>
              <w:spacing w:line="360" w:lineRule="auto"/>
              <w:jc w:val="center"/>
              <w:rPr>
                <w:rFonts w:eastAsia="楷体_GB2312"/>
                <w:b/>
                <w:szCs w:val="21"/>
                <w:lang w:eastAsia="zh-TW"/>
              </w:rPr>
            </w:pPr>
            <w:r>
              <w:rPr>
                <w:rFonts w:eastAsia="楷体_GB2312"/>
                <w:b/>
                <w:szCs w:val="21"/>
                <w:lang w:eastAsia="zh-TW"/>
              </w:rPr>
              <w:t>处置状态</w:t>
            </w:r>
          </w:p>
        </w:tc>
        <w:tc>
          <w:tcPr>
            <w:tcW w:w="1445" w:type="dxa"/>
            <w:tcBorders>
              <w:top w:val="single" w:color="auto" w:sz="4" w:space="0"/>
              <w:left w:val="single" w:color="auto" w:sz="4" w:space="0"/>
              <w:bottom w:val="single" w:color="auto" w:sz="4" w:space="0"/>
              <w:right w:val="single" w:color="auto" w:sz="4" w:space="0"/>
            </w:tcBorders>
          </w:tcPr>
          <w:p w14:paraId="0636700A">
            <w:pPr>
              <w:widowControl/>
              <w:spacing w:line="360" w:lineRule="auto"/>
              <w:jc w:val="center"/>
              <w:rPr>
                <w:rFonts w:eastAsia="楷体_GB2312"/>
                <w:b/>
                <w:szCs w:val="21"/>
                <w:lang w:eastAsia="zh-TW"/>
              </w:rPr>
            </w:pPr>
            <w:r>
              <w:rPr>
                <w:rFonts w:eastAsia="楷体_GB2312"/>
                <w:b/>
                <w:szCs w:val="21"/>
                <w:lang w:eastAsia="zh-TW"/>
              </w:rPr>
              <w:t>贷款笔数</w:t>
            </w:r>
          </w:p>
        </w:tc>
        <w:tc>
          <w:tcPr>
            <w:tcW w:w="1417" w:type="dxa"/>
            <w:tcBorders>
              <w:top w:val="single" w:color="auto" w:sz="4" w:space="0"/>
              <w:left w:val="single" w:color="auto" w:sz="4" w:space="0"/>
              <w:bottom w:val="single" w:color="auto" w:sz="4" w:space="0"/>
              <w:right w:val="single" w:color="auto" w:sz="4" w:space="0"/>
            </w:tcBorders>
          </w:tcPr>
          <w:p w14:paraId="7174DAB7">
            <w:pPr>
              <w:widowControl/>
              <w:spacing w:line="360" w:lineRule="auto"/>
              <w:jc w:val="center"/>
              <w:rPr>
                <w:rFonts w:eastAsia="楷体_GB2312"/>
                <w:b/>
                <w:szCs w:val="21"/>
              </w:rPr>
            </w:pPr>
            <w:r>
              <w:rPr>
                <w:rFonts w:eastAsia="楷体_GB2312"/>
                <w:b/>
                <w:szCs w:val="21"/>
              </w:rPr>
              <w:t>占初始期算日笔数占比（%）</w:t>
            </w:r>
          </w:p>
        </w:tc>
        <w:tc>
          <w:tcPr>
            <w:tcW w:w="1560" w:type="dxa"/>
            <w:tcBorders>
              <w:top w:val="single" w:color="auto" w:sz="4" w:space="0"/>
              <w:left w:val="single" w:color="auto" w:sz="4" w:space="0"/>
              <w:bottom w:val="single" w:color="auto" w:sz="4" w:space="0"/>
              <w:right w:val="single" w:color="auto" w:sz="4" w:space="0"/>
            </w:tcBorders>
          </w:tcPr>
          <w:p w14:paraId="2AF78954">
            <w:pPr>
              <w:widowControl/>
              <w:spacing w:line="360" w:lineRule="auto"/>
              <w:jc w:val="center"/>
              <w:rPr>
                <w:rFonts w:eastAsia="楷体_GB2312"/>
                <w:b/>
                <w:szCs w:val="21"/>
                <w:lang w:eastAsia="zh-TW"/>
              </w:rPr>
            </w:pPr>
            <w:r>
              <w:rPr>
                <w:rFonts w:eastAsia="楷体_GB2312"/>
                <w:b/>
                <w:szCs w:val="21"/>
                <w:lang w:eastAsia="zh-TW"/>
              </w:rPr>
              <w:t>贷款金额</w:t>
            </w:r>
          </w:p>
        </w:tc>
        <w:tc>
          <w:tcPr>
            <w:tcW w:w="1559" w:type="dxa"/>
            <w:tcBorders>
              <w:top w:val="single" w:color="auto" w:sz="4" w:space="0"/>
              <w:left w:val="single" w:color="auto" w:sz="4" w:space="0"/>
              <w:bottom w:val="single" w:color="auto" w:sz="4" w:space="0"/>
              <w:right w:val="single" w:color="auto" w:sz="4" w:space="0"/>
            </w:tcBorders>
          </w:tcPr>
          <w:p w14:paraId="755C3640">
            <w:pPr>
              <w:widowControl/>
              <w:spacing w:line="360" w:lineRule="auto"/>
              <w:jc w:val="center"/>
              <w:rPr>
                <w:rFonts w:eastAsia="楷体_GB2312"/>
                <w:b/>
                <w:szCs w:val="21"/>
              </w:rPr>
            </w:pPr>
            <w:r>
              <w:rPr>
                <w:rFonts w:eastAsia="楷体_GB2312"/>
                <w:b/>
                <w:szCs w:val="21"/>
              </w:rPr>
              <w:t>占初始期算日金额占比（%）</w:t>
            </w:r>
          </w:p>
        </w:tc>
      </w:tr>
      <w:tr w14:paraId="4BA11B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4FD09729">
            <w:pPr>
              <w:widowControl/>
              <w:spacing w:line="360" w:lineRule="auto"/>
              <w:jc w:val="left"/>
              <w:rPr>
                <w:rFonts w:eastAsia="楷体_GB2312"/>
                <w:sz w:val="18"/>
              </w:rPr>
            </w:pPr>
            <w:r>
              <w:rPr>
                <w:rFonts w:eastAsia="楷体_GB2312"/>
                <w:sz w:val="18"/>
              </w:rPr>
              <w:t>非诉讼类处置</w:t>
            </w:r>
          </w:p>
        </w:tc>
        <w:tc>
          <w:tcPr>
            <w:tcW w:w="1445" w:type="dxa"/>
            <w:tcBorders>
              <w:top w:val="single" w:color="auto" w:sz="4" w:space="0"/>
              <w:left w:val="single" w:color="auto" w:sz="4" w:space="0"/>
              <w:bottom w:val="single" w:color="auto" w:sz="4" w:space="0"/>
              <w:right w:val="single" w:color="auto" w:sz="4" w:space="0"/>
            </w:tcBorders>
          </w:tcPr>
          <w:p w14:paraId="1043E0A1">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170D4713">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736C5B6C">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1EFC2EEE">
            <w:pPr>
              <w:widowControl/>
              <w:spacing w:line="360" w:lineRule="auto"/>
              <w:jc w:val="center"/>
              <w:rPr>
                <w:rFonts w:eastAsia="楷体_GB2312"/>
                <w:b/>
                <w:sz w:val="24"/>
                <w:lang w:eastAsia="zh-TW"/>
              </w:rPr>
            </w:pPr>
          </w:p>
        </w:tc>
      </w:tr>
      <w:tr w14:paraId="35855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7E9AA371">
            <w:pPr>
              <w:widowControl/>
              <w:spacing w:line="360" w:lineRule="auto"/>
              <w:jc w:val="left"/>
              <w:rPr>
                <w:rFonts w:eastAsia="楷体_GB2312"/>
                <w:sz w:val="18"/>
              </w:rPr>
            </w:pPr>
            <w:r>
              <w:rPr>
                <w:rFonts w:eastAsia="楷体_GB2312"/>
                <w:sz w:val="18"/>
              </w:rPr>
              <w:t>诉讼类处置</w:t>
            </w:r>
          </w:p>
        </w:tc>
        <w:tc>
          <w:tcPr>
            <w:tcW w:w="1445" w:type="dxa"/>
            <w:tcBorders>
              <w:top w:val="single" w:color="auto" w:sz="4" w:space="0"/>
              <w:left w:val="single" w:color="auto" w:sz="4" w:space="0"/>
              <w:bottom w:val="single" w:color="auto" w:sz="4" w:space="0"/>
              <w:right w:val="single" w:color="auto" w:sz="4" w:space="0"/>
            </w:tcBorders>
          </w:tcPr>
          <w:p w14:paraId="0D7D19D2">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135432D5">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202EC8EF">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3DDF2B1A">
            <w:pPr>
              <w:widowControl/>
              <w:spacing w:line="360" w:lineRule="auto"/>
              <w:jc w:val="center"/>
              <w:rPr>
                <w:rFonts w:eastAsia="楷体_GB2312"/>
                <w:b/>
                <w:sz w:val="24"/>
                <w:lang w:eastAsia="zh-TW"/>
              </w:rPr>
            </w:pPr>
          </w:p>
        </w:tc>
      </w:tr>
      <w:tr w14:paraId="16758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57CF9014">
            <w:pPr>
              <w:widowControl/>
              <w:spacing w:line="360" w:lineRule="auto"/>
              <w:jc w:val="left"/>
              <w:rPr>
                <w:rFonts w:eastAsia="楷体_GB2312"/>
                <w:sz w:val="18"/>
              </w:rPr>
            </w:pPr>
            <w:r>
              <w:rPr>
                <w:rFonts w:eastAsia="楷体_GB2312"/>
                <w:sz w:val="18"/>
              </w:rPr>
              <w:t>（1）进入诉讼准备程序</w:t>
            </w:r>
          </w:p>
        </w:tc>
        <w:tc>
          <w:tcPr>
            <w:tcW w:w="1445" w:type="dxa"/>
            <w:tcBorders>
              <w:top w:val="single" w:color="auto" w:sz="4" w:space="0"/>
              <w:left w:val="single" w:color="auto" w:sz="4" w:space="0"/>
              <w:bottom w:val="single" w:color="auto" w:sz="4" w:space="0"/>
              <w:right w:val="single" w:color="auto" w:sz="4" w:space="0"/>
            </w:tcBorders>
          </w:tcPr>
          <w:p w14:paraId="50D73DDC">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6C6CFEA8">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2C7255CA">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3951E972">
            <w:pPr>
              <w:widowControl/>
              <w:spacing w:line="360" w:lineRule="auto"/>
              <w:jc w:val="center"/>
              <w:rPr>
                <w:rFonts w:eastAsia="楷体_GB2312"/>
                <w:b/>
                <w:sz w:val="24"/>
              </w:rPr>
            </w:pPr>
          </w:p>
        </w:tc>
      </w:tr>
      <w:tr w14:paraId="64E4DA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54A0FDE">
            <w:pPr>
              <w:widowControl/>
              <w:spacing w:line="360" w:lineRule="auto"/>
              <w:jc w:val="left"/>
              <w:rPr>
                <w:rFonts w:eastAsia="楷体_GB2312"/>
                <w:sz w:val="18"/>
              </w:rPr>
            </w:pPr>
            <w:r>
              <w:rPr>
                <w:rFonts w:eastAsia="楷体_GB2312"/>
                <w:sz w:val="18"/>
              </w:rPr>
              <w:t>（2）进入法庭受理程序</w:t>
            </w:r>
          </w:p>
        </w:tc>
        <w:tc>
          <w:tcPr>
            <w:tcW w:w="1445" w:type="dxa"/>
            <w:tcBorders>
              <w:top w:val="single" w:color="auto" w:sz="4" w:space="0"/>
              <w:left w:val="single" w:color="auto" w:sz="4" w:space="0"/>
              <w:bottom w:val="single" w:color="auto" w:sz="4" w:space="0"/>
              <w:right w:val="single" w:color="auto" w:sz="4" w:space="0"/>
            </w:tcBorders>
          </w:tcPr>
          <w:p w14:paraId="754F8712">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06FDAC10">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4CBE924A">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45FF0EBA">
            <w:pPr>
              <w:widowControl/>
              <w:spacing w:line="360" w:lineRule="auto"/>
              <w:jc w:val="center"/>
              <w:rPr>
                <w:rFonts w:eastAsia="楷体_GB2312"/>
                <w:b/>
                <w:sz w:val="24"/>
              </w:rPr>
            </w:pPr>
          </w:p>
        </w:tc>
      </w:tr>
      <w:tr w14:paraId="0E1330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3A996DEF">
            <w:pPr>
              <w:widowControl/>
              <w:spacing w:line="360" w:lineRule="auto"/>
              <w:jc w:val="left"/>
              <w:rPr>
                <w:rFonts w:eastAsia="楷体_GB2312"/>
                <w:sz w:val="18"/>
              </w:rPr>
            </w:pPr>
            <w:r>
              <w:rPr>
                <w:rFonts w:eastAsia="楷体_GB2312"/>
                <w:sz w:val="18"/>
              </w:rPr>
              <w:t>（3）进入执行拍卖程序</w:t>
            </w:r>
          </w:p>
        </w:tc>
        <w:tc>
          <w:tcPr>
            <w:tcW w:w="1445" w:type="dxa"/>
            <w:tcBorders>
              <w:top w:val="single" w:color="auto" w:sz="4" w:space="0"/>
              <w:left w:val="single" w:color="auto" w:sz="4" w:space="0"/>
              <w:bottom w:val="single" w:color="auto" w:sz="4" w:space="0"/>
              <w:right w:val="single" w:color="auto" w:sz="4" w:space="0"/>
            </w:tcBorders>
          </w:tcPr>
          <w:p w14:paraId="2B1B4F5B">
            <w:pPr>
              <w:widowControl/>
              <w:spacing w:line="360" w:lineRule="auto"/>
              <w:jc w:val="center"/>
              <w:rPr>
                <w:rFonts w:eastAsia="楷体_GB2312"/>
                <w:b/>
                <w:sz w:val="24"/>
              </w:rPr>
            </w:pPr>
          </w:p>
        </w:tc>
        <w:tc>
          <w:tcPr>
            <w:tcW w:w="1417" w:type="dxa"/>
            <w:tcBorders>
              <w:top w:val="single" w:color="auto" w:sz="4" w:space="0"/>
              <w:left w:val="single" w:color="auto" w:sz="4" w:space="0"/>
              <w:bottom w:val="single" w:color="auto" w:sz="4" w:space="0"/>
              <w:right w:val="single" w:color="auto" w:sz="4" w:space="0"/>
            </w:tcBorders>
          </w:tcPr>
          <w:p w14:paraId="51C00E41">
            <w:pPr>
              <w:widowControl/>
              <w:spacing w:line="360" w:lineRule="auto"/>
              <w:jc w:val="center"/>
              <w:rPr>
                <w:rFonts w:eastAsia="楷体_GB2312"/>
                <w:b/>
                <w:sz w:val="24"/>
              </w:rPr>
            </w:pPr>
          </w:p>
        </w:tc>
        <w:tc>
          <w:tcPr>
            <w:tcW w:w="1560" w:type="dxa"/>
            <w:tcBorders>
              <w:top w:val="single" w:color="auto" w:sz="4" w:space="0"/>
              <w:left w:val="single" w:color="auto" w:sz="4" w:space="0"/>
              <w:bottom w:val="single" w:color="auto" w:sz="4" w:space="0"/>
              <w:right w:val="single" w:color="auto" w:sz="4" w:space="0"/>
            </w:tcBorders>
          </w:tcPr>
          <w:p w14:paraId="4FEFB64B">
            <w:pPr>
              <w:widowControl/>
              <w:spacing w:line="360" w:lineRule="auto"/>
              <w:jc w:val="center"/>
              <w:rPr>
                <w:rFonts w:eastAsia="楷体_GB2312"/>
                <w:b/>
                <w:sz w:val="24"/>
              </w:rPr>
            </w:pPr>
          </w:p>
        </w:tc>
        <w:tc>
          <w:tcPr>
            <w:tcW w:w="1559" w:type="dxa"/>
            <w:tcBorders>
              <w:top w:val="single" w:color="auto" w:sz="4" w:space="0"/>
              <w:left w:val="single" w:color="auto" w:sz="4" w:space="0"/>
              <w:bottom w:val="single" w:color="auto" w:sz="4" w:space="0"/>
              <w:right w:val="single" w:color="auto" w:sz="4" w:space="0"/>
            </w:tcBorders>
          </w:tcPr>
          <w:p w14:paraId="3A313D8D">
            <w:pPr>
              <w:widowControl/>
              <w:spacing w:line="360" w:lineRule="auto"/>
              <w:jc w:val="center"/>
              <w:rPr>
                <w:rFonts w:eastAsia="楷体_GB2312"/>
                <w:b/>
                <w:sz w:val="24"/>
              </w:rPr>
            </w:pPr>
          </w:p>
        </w:tc>
      </w:tr>
      <w:tr w14:paraId="0246A6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112736CC">
            <w:pPr>
              <w:widowControl/>
              <w:spacing w:line="360" w:lineRule="auto"/>
              <w:jc w:val="left"/>
              <w:rPr>
                <w:rFonts w:eastAsia="楷体_GB2312"/>
                <w:sz w:val="18"/>
              </w:rPr>
            </w:pPr>
            <w:r>
              <w:rPr>
                <w:rFonts w:eastAsia="楷体_GB2312"/>
                <w:sz w:val="18"/>
              </w:rPr>
              <w:t>经处置已核销</w:t>
            </w:r>
          </w:p>
        </w:tc>
        <w:tc>
          <w:tcPr>
            <w:tcW w:w="1445" w:type="dxa"/>
            <w:tcBorders>
              <w:top w:val="single" w:color="auto" w:sz="4" w:space="0"/>
              <w:left w:val="single" w:color="auto" w:sz="4" w:space="0"/>
              <w:bottom w:val="single" w:color="auto" w:sz="4" w:space="0"/>
              <w:right w:val="single" w:color="auto" w:sz="4" w:space="0"/>
            </w:tcBorders>
          </w:tcPr>
          <w:p w14:paraId="286DDBF2">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199B905C">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7FFDCACC">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4659E8D9">
            <w:pPr>
              <w:widowControl/>
              <w:spacing w:line="360" w:lineRule="auto"/>
              <w:jc w:val="center"/>
              <w:rPr>
                <w:rFonts w:eastAsia="楷体_GB2312"/>
                <w:b/>
                <w:sz w:val="24"/>
                <w:lang w:eastAsia="zh-TW"/>
              </w:rPr>
            </w:pPr>
          </w:p>
        </w:tc>
      </w:tr>
      <w:tr w14:paraId="564BA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36" w:type="dxa"/>
            <w:tcBorders>
              <w:top w:val="single" w:color="auto" w:sz="4" w:space="0"/>
              <w:left w:val="single" w:color="auto" w:sz="4" w:space="0"/>
              <w:bottom w:val="single" w:color="auto" w:sz="4" w:space="0"/>
              <w:right w:val="single" w:color="auto" w:sz="4" w:space="0"/>
            </w:tcBorders>
          </w:tcPr>
          <w:p w14:paraId="6B74E627">
            <w:pPr>
              <w:widowControl/>
              <w:spacing w:line="360" w:lineRule="auto"/>
              <w:jc w:val="left"/>
              <w:rPr>
                <w:rFonts w:eastAsia="楷体_GB2312"/>
                <w:sz w:val="18"/>
              </w:rPr>
            </w:pPr>
            <w:r>
              <w:rPr>
                <w:rFonts w:eastAsia="楷体_GB2312"/>
                <w:sz w:val="18"/>
              </w:rPr>
              <w:t>汇总</w:t>
            </w:r>
          </w:p>
        </w:tc>
        <w:tc>
          <w:tcPr>
            <w:tcW w:w="1445" w:type="dxa"/>
            <w:tcBorders>
              <w:top w:val="single" w:color="auto" w:sz="4" w:space="0"/>
              <w:left w:val="single" w:color="auto" w:sz="4" w:space="0"/>
              <w:bottom w:val="single" w:color="auto" w:sz="4" w:space="0"/>
              <w:right w:val="single" w:color="auto" w:sz="4" w:space="0"/>
            </w:tcBorders>
          </w:tcPr>
          <w:p w14:paraId="7EAE65EB">
            <w:pPr>
              <w:widowControl/>
              <w:spacing w:line="360" w:lineRule="auto"/>
              <w:jc w:val="center"/>
              <w:rPr>
                <w:rFonts w:eastAsia="楷体_GB2312"/>
                <w:b/>
                <w:sz w:val="24"/>
                <w:lang w:eastAsia="zh-TW"/>
              </w:rPr>
            </w:pPr>
          </w:p>
        </w:tc>
        <w:tc>
          <w:tcPr>
            <w:tcW w:w="1417" w:type="dxa"/>
            <w:tcBorders>
              <w:top w:val="single" w:color="auto" w:sz="4" w:space="0"/>
              <w:left w:val="single" w:color="auto" w:sz="4" w:space="0"/>
              <w:bottom w:val="single" w:color="auto" w:sz="4" w:space="0"/>
              <w:right w:val="single" w:color="auto" w:sz="4" w:space="0"/>
            </w:tcBorders>
          </w:tcPr>
          <w:p w14:paraId="0388F3F7">
            <w:pPr>
              <w:widowControl/>
              <w:spacing w:line="360" w:lineRule="auto"/>
              <w:jc w:val="center"/>
              <w:rPr>
                <w:rFonts w:eastAsia="楷体_GB2312"/>
                <w:b/>
                <w:sz w:val="24"/>
                <w:lang w:eastAsia="zh-TW"/>
              </w:rPr>
            </w:pPr>
          </w:p>
        </w:tc>
        <w:tc>
          <w:tcPr>
            <w:tcW w:w="1560" w:type="dxa"/>
            <w:tcBorders>
              <w:top w:val="single" w:color="auto" w:sz="4" w:space="0"/>
              <w:left w:val="single" w:color="auto" w:sz="4" w:space="0"/>
              <w:bottom w:val="single" w:color="auto" w:sz="4" w:space="0"/>
              <w:right w:val="single" w:color="auto" w:sz="4" w:space="0"/>
            </w:tcBorders>
          </w:tcPr>
          <w:p w14:paraId="38040D7E">
            <w:pPr>
              <w:widowControl/>
              <w:spacing w:line="360" w:lineRule="auto"/>
              <w:jc w:val="center"/>
              <w:rPr>
                <w:rFonts w:eastAsia="楷体_GB2312"/>
                <w:b/>
                <w:sz w:val="24"/>
                <w:lang w:eastAsia="zh-TW"/>
              </w:rPr>
            </w:pPr>
          </w:p>
        </w:tc>
        <w:tc>
          <w:tcPr>
            <w:tcW w:w="1559" w:type="dxa"/>
            <w:tcBorders>
              <w:top w:val="single" w:color="auto" w:sz="4" w:space="0"/>
              <w:left w:val="single" w:color="auto" w:sz="4" w:space="0"/>
              <w:bottom w:val="single" w:color="auto" w:sz="4" w:space="0"/>
              <w:right w:val="single" w:color="auto" w:sz="4" w:space="0"/>
            </w:tcBorders>
          </w:tcPr>
          <w:p w14:paraId="0E866E8C">
            <w:pPr>
              <w:widowControl/>
              <w:spacing w:line="360" w:lineRule="auto"/>
              <w:jc w:val="center"/>
              <w:rPr>
                <w:rFonts w:eastAsia="楷体_GB2312"/>
                <w:b/>
                <w:sz w:val="24"/>
                <w:lang w:eastAsia="zh-TW"/>
              </w:rPr>
            </w:pPr>
          </w:p>
        </w:tc>
      </w:tr>
    </w:tbl>
    <w:p w14:paraId="2F598400">
      <w:pPr>
        <w:widowControl/>
        <w:spacing w:line="360" w:lineRule="auto"/>
        <w:jc w:val="left"/>
        <w:rPr>
          <w:rFonts w:eastAsia="楷体_GB2312"/>
          <w:sz w:val="24"/>
        </w:rPr>
      </w:pPr>
    </w:p>
    <w:p w14:paraId="1829CA3F">
      <w:pPr>
        <w:widowControl/>
        <w:jc w:val="left"/>
        <w:rPr>
          <w:rFonts w:eastAsia="楷体_GB2312"/>
        </w:rPr>
      </w:pPr>
      <w:r>
        <w:rPr>
          <w:rFonts w:eastAsia="楷体_GB2312"/>
        </w:rPr>
        <w:br w:type="page"/>
      </w:r>
    </w:p>
    <w:tbl>
      <w:tblPr>
        <w:tblStyle w:val="27"/>
        <w:tblW w:w="847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2127"/>
        <w:gridCol w:w="2128"/>
        <w:gridCol w:w="2269"/>
      </w:tblGrid>
      <w:tr w14:paraId="44D40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14:paraId="164088FD">
            <w:pPr>
              <w:widowControl/>
              <w:spacing w:line="360" w:lineRule="auto"/>
              <w:jc w:val="center"/>
              <w:rPr>
                <w:rFonts w:eastAsia="楷体_GB2312"/>
                <w:b/>
                <w:sz w:val="28"/>
              </w:rPr>
            </w:pPr>
            <w:r>
              <w:rPr>
                <w:rFonts w:eastAsia="楷体_GB2312"/>
                <w:b/>
                <w:sz w:val="28"/>
              </w:rPr>
              <w:t>【信托名称】受托机构报告</w:t>
            </w:r>
          </w:p>
        </w:tc>
      </w:tr>
      <w:tr w14:paraId="3C7E7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nil"/>
              <w:right w:val="single" w:color="auto" w:sz="4" w:space="0"/>
            </w:tcBorders>
          </w:tcPr>
          <w:p w14:paraId="15B42F12">
            <w:pPr>
              <w:widowControl/>
              <w:spacing w:line="360" w:lineRule="auto"/>
              <w:jc w:val="left"/>
              <w:rPr>
                <w:rFonts w:eastAsia="楷体_GB2312"/>
                <w:b/>
                <w:szCs w:val="21"/>
                <w:lang w:eastAsia="zh-TW"/>
              </w:rPr>
            </w:pPr>
            <w:r>
              <w:rPr>
                <w:rFonts w:eastAsia="楷体_GB2312"/>
                <w:b/>
                <w:szCs w:val="21"/>
                <w:lang w:eastAsia="zh-TW"/>
              </w:rPr>
              <w:t>三、资产池情况</w:t>
            </w:r>
          </w:p>
        </w:tc>
      </w:tr>
      <w:tr w14:paraId="2FF5CA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4"/>
            <w:tcBorders>
              <w:top w:val="nil"/>
              <w:left w:val="single" w:color="auto" w:sz="4" w:space="0"/>
              <w:bottom w:val="single" w:color="auto" w:sz="4" w:space="0"/>
              <w:right w:val="single" w:color="auto" w:sz="4" w:space="0"/>
            </w:tcBorders>
          </w:tcPr>
          <w:p w14:paraId="5B2EDD8A">
            <w:pPr>
              <w:widowControl/>
              <w:spacing w:line="360" w:lineRule="auto"/>
              <w:jc w:val="left"/>
              <w:rPr>
                <w:rFonts w:eastAsia="楷体_GB2312"/>
                <w:bCs/>
                <w:szCs w:val="21"/>
                <w:lang w:eastAsia="zh-TW"/>
              </w:rPr>
            </w:pPr>
            <w:r>
              <w:rPr>
                <w:rFonts w:eastAsia="楷体_GB2312"/>
                <w:bCs/>
                <w:szCs w:val="21"/>
                <w:lang w:eastAsia="zh-TW"/>
              </w:rPr>
              <w:t>（四）累计违约率</w:t>
            </w:r>
          </w:p>
        </w:tc>
      </w:tr>
      <w:tr w14:paraId="01E30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0372FCBD">
            <w:pPr>
              <w:widowControl/>
              <w:spacing w:line="360" w:lineRule="auto"/>
              <w:jc w:val="center"/>
              <w:rPr>
                <w:rFonts w:eastAsia="楷体_GB2312"/>
                <w:b/>
                <w:szCs w:val="21"/>
              </w:rPr>
            </w:pPr>
            <w:r>
              <w:rPr>
                <w:rFonts w:eastAsia="楷体_GB2312"/>
                <w:b/>
                <w:szCs w:val="21"/>
                <w:lang w:eastAsia="zh-TW"/>
              </w:rPr>
              <w:t>期数</w:t>
            </w:r>
            <w:r>
              <w:rPr>
                <w:rFonts w:eastAsia="楷体_GB2312"/>
                <w:b/>
                <w:szCs w:val="21"/>
              </w:rPr>
              <w:t>（收款期间）</w:t>
            </w:r>
          </w:p>
        </w:tc>
        <w:tc>
          <w:tcPr>
            <w:tcW w:w="2126" w:type="dxa"/>
            <w:tcBorders>
              <w:top w:val="single" w:color="auto" w:sz="4" w:space="0"/>
              <w:left w:val="single" w:color="auto" w:sz="4" w:space="0"/>
              <w:bottom w:val="single" w:color="auto" w:sz="4" w:space="0"/>
              <w:right w:val="single" w:color="auto" w:sz="4" w:space="0"/>
            </w:tcBorders>
          </w:tcPr>
          <w:p w14:paraId="6D568A57">
            <w:pPr>
              <w:widowControl/>
              <w:spacing w:line="360" w:lineRule="auto"/>
              <w:jc w:val="center"/>
              <w:rPr>
                <w:rFonts w:eastAsia="楷体_GB2312"/>
                <w:b/>
                <w:szCs w:val="21"/>
              </w:rPr>
            </w:pPr>
            <w:r>
              <w:rPr>
                <w:rFonts w:eastAsia="楷体_GB2312"/>
                <w:b/>
                <w:szCs w:val="21"/>
              </w:rPr>
              <w:t>报告日期（收款期间期末）</w:t>
            </w:r>
          </w:p>
        </w:tc>
        <w:tc>
          <w:tcPr>
            <w:tcW w:w="2127" w:type="dxa"/>
            <w:tcBorders>
              <w:top w:val="single" w:color="auto" w:sz="4" w:space="0"/>
              <w:left w:val="single" w:color="auto" w:sz="4" w:space="0"/>
              <w:bottom w:val="single" w:color="auto" w:sz="4" w:space="0"/>
              <w:right w:val="nil"/>
            </w:tcBorders>
          </w:tcPr>
          <w:p w14:paraId="2C0627D7">
            <w:pPr>
              <w:widowControl/>
              <w:spacing w:line="360" w:lineRule="auto"/>
              <w:jc w:val="center"/>
              <w:rPr>
                <w:rFonts w:eastAsia="楷体_GB2312"/>
                <w:b/>
                <w:szCs w:val="21"/>
              </w:rPr>
            </w:pPr>
            <w:r>
              <w:rPr>
                <w:rFonts w:eastAsia="楷体_GB2312"/>
                <w:b/>
                <w:szCs w:val="21"/>
                <w:lang w:eastAsia="zh-TW"/>
              </w:rPr>
              <w:t>累计违约率</w:t>
            </w:r>
            <w:r>
              <w:rPr>
                <w:rFonts w:eastAsia="楷体_GB2312"/>
                <w:b/>
                <w:szCs w:val="21"/>
              </w:rPr>
              <w:t>（%）</w:t>
            </w:r>
          </w:p>
        </w:tc>
        <w:tc>
          <w:tcPr>
            <w:tcW w:w="2268" w:type="dxa"/>
            <w:tcBorders>
              <w:top w:val="single" w:color="auto" w:sz="4" w:space="0"/>
              <w:left w:val="single" w:color="auto" w:sz="4" w:space="0"/>
              <w:bottom w:val="single" w:color="auto" w:sz="4" w:space="0"/>
              <w:right w:val="single" w:color="auto" w:sz="4" w:space="0"/>
            </w:tcBorders>
          </w:tcPr>
          <w:p w14:paraId="03331CE1">
            <w:pPr>
              <w:widowControl/>
              <w:spacing w:line="360" w:lineRule="auto"/>
              <w:jc w:val="center"/>
              <w:rPr>
                <w:rFonts w:eastAsia="楷体_GB2312"/>
                <w:b/>
                <w:szCs w:val="21"/>
              </w:rPr>
            </w:pPr>
            <w:r>
              <w:rPr>
                <w:rFonts w:eastAsia="楷体_GB2312"/>
                <w:b/>
                <w:szCs w:val="21"/>
              </w:rPr>
              <w:t>累计违约金额（元）</w:t>
            </w:r>
          </w:p>
          <w:p w14:paraId="5AE798F0">
            <w:pPr>
              <w:widowControl/>
              <w:spacing w:line="360" w:lineRule="auto"/>
              <w:jc w:val="center"/>
              <w:rPr>
                <w:rFonts w:eastAsia="楷体_GB2312"/>
                <w:b/>
                <w:szCs w:val="21"/>
              </w:rPr>
            </w:pPr>
          </w:p>
        </w:tc>
      </w:tr>
      <w:tr w14:paraId="49576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7DAA7C8B">
            <w:pPr>
              <w:widowControl/>
              <w:spacing w:line="360" w:lineRule="auto"/>
              <w:jc w:val="left"/>
              <w:rPr>
                <w:rFonts w:eastAsia="楷体_GB2312"/>
                <w:sz w:val="18"/>
                <w:lang w:eastAsia="zh-TW"/>
              </w:rPr>
            </w:pPr>
            <w:r>
              <w:rPr>
                <w:rFonts w:eastAsia="楷体_GB2312"/>
                <w:sz w:val="18"/>
                <w:lang w:eastAsia="zh-TW"/>
              </w:rPr>
              <w:t>第1期</w:t>
            </w:r>
          </w:p>
        </w:tc>
        <w:tc>
          <w:tcPr>
            <w:tcW w:w="2126" w:type="dxa"/>
            <w:tcBorders>
              <w:top w:val="single" w:color="auto" w:sz="4" w:space="0"/>
              <w:left w:val="single" w:color="auto" w:sz="4" w:space="0"/>
              <w:bottom w:val="single" w:color="auto" w:sz="4" w:space="0"/>
              <w:right w:val="single" w:color="auto" w:sz="4" w:space="0"/>
            </w:tcBorders>
          </w:tcPr>
          <w:p w14:paraId="1078D4A4">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0682509A">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505AE030">
            <w:pPr>
              <w:widowControl/>
              <w:spacing w:line="360" w:lineRule="auto"/>
              <w:jc w:val="center"/>
              <w:rPr>
                <w:rFonts w:eastAsia="楷体_GB2312"/>
                <w:sz w:val="24"/>
                <w:lang w:eastAsia="zh-TW"/>
              </w:rPr>
            </w:pPr>
          </w:p>
        </w:tc>
      </w:tr>
      <w:tr w14:paraId="0F51B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39F4D1E1">
            <w:pPr>
              <w:widowControl/>
              <w:spacing w:line="360" w:lineRule="auto"/>
              <w:jc w:val="left"/>
              <w:rPr>
                <w:rFonts w:eastAsia="楷体_GB2312"/>
                <w:sz w:val="18"/>
                <w:lang w:eastAsia="zh-TW"/>
              </w:rPr>
            </w:pPr>
            <w:r>
              <w:rPr>
                <w:rFonts w:eastAsia="楷体_GB2312"/>
                <w:sz w:val="18"/>
                <w:lang w:eastAsia="zh-TW"/>
              </w:rPr>
              <w:t>第2期</w:t>
            </w:r>
          </w:p>
        </w:tc>
        <w:tc>
          <w:tcPr>
            <w:tcW w:w="2126" w:type="dxa"/>
            <w:tcBorders>
              <w:top w:val="single" w:color="auto" w:sz="4" w:space="0"/>
              <w:left w:val="single" w:color="auto" w:sz="4" w:space="0"/>
              <w:bottom w:val="single" w:color="auto" w:sz="4" w:space="0"/>
              <w:right w:val="single" w:color="auto" w:sz="4" w:space="0"/>
            </w:tcBorders>
          </w:tcPr>
          <w:p w14:paraId="00247870">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122D100C">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65CD480B">
            <w:pPr>
              <w:widowControl/>
              <w:spacing w:line="360" w:lineRule="auto"/>
              <w:jc w:val="center"/>
              <w:rPr>
                <w:rFonts w:eastAsia="楷体_GB2312"/>
                <w:sz w:val="24"/>
                <w:lang w:eastAsia="zh-TW"/>
              </w:rPr>
            </w:pPr>
          </w:p>
        </w:tc>
      </w:tr>
      <w:tr w14:paraId="2BBE7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4C2F647D">
            <w:pPr>
              <w:widowControl/>
              <w:spacing w:line="360" w:lineRule="auto"/>
              <w:jc w:val="left"/>
              <w:rPr>
                <w:rFonts w:eastAsia="楷体_GB2312"/>
                <w:sz w:val="18"/>
                <w:lang w:eastAsia="zh-TW"/>
              </w:rPr>
            </w:pPr>
            <w:r>
              <w:rPr>
                <w:rFonts w:eastAsia="楷体_GB2312"/>
                <w:sz w:val="18"/>
                <w:lang w:eastAsia="zh-TW"/>
              </w:rPr>
              <w:t>第3期</w:t>
            </w:r>
          </w:p>
        </w:tc>
        <w:tc>
          <w:tcPr>
            <w:tcW w:w="2126" w:type="dxa"/>
            <w:tcBorders>
              <w:top w:val="single" w:color="auto" w:sz="4" w:space="0"/>
              <w:left w:val="single" w:color="auto" w:sz="4" w:space="0"/>
              <w:bottom w:val="single" w:color="auto" w:sz="4" w:space="0"/>
              <w:right w:val="single" w:color="auto" w:sz="4" w:space="0"/>
            </w:tcBorders>
          </w:tcPr>
          <w:p w14:paraId="512EEE32">
            <w:pPr>
              <w:widowControl/>
              <w:spacing w:line="360" w:lineRule="auto"/>
              <w:jc w:val="center"/>
              <w:rPr>
                <w:rFonts w:eastAsia="楷体_GB2312"/>
                <w:sz w:val="24"/>
                <w:lang w:eastAsia="zh-TW"/>
              </w:rPr>
            </w:pPr>
          </w:p>
        </w:tc>
        <w:tc>
          <w:tcPr>
            <w:tcW w:w="2127" w:type="dxa"/>
            <w:tcBorders>
              <w:top w:val="single" w:color="auto" w:sz="4" w:space="0"/>
              <w:left w:val="single" w:color="auto" w:sz="4" w:space="0"/>
              <w:bottom w:val="single" w:color="auto" w:sz="4" w:space="0"/>
              <w:right w:val="nil"/>
            </w:tcBorders>
          </w:tcPr>
          <w:p w14:paraId="1074C564">
            <w:pPr>
              <w:widowControl/>
              <w:spacing w:line="360" w:lineRule="auto"/>
              <w:jc w:val="center"/>
              <w:rPr>
                <w:rFonts w:eastAsia="楷体_GB2312"/>
                <w:sz w:val="24"/>
                <w:lang w:eastAsia="zh-TW"/>
              </w:rPr>
            </w:pPr>
          </w:p>
        </w:tc>
        <w:tc>
          <w:tcPr>
            <w:tcW w:w="2268" w:type="dxa"/>
            <w:tcBorders>
              <w:top w:val="single" w:color="auto" w:sz="4" w:space="0"/>
              <w:left w:val="single" w:color="auto" w:sz="4" w:space="0"/>
              <w:bottom w:val="single" w:color="auto" w:sz="4" w:space="0"/>
              <w:right w:val="single" w:color="auto" w:sz="4" w:space="0"/>
            </w:tcBorders>
          </w:tcPr>
          <w:p w14:paraId="6AC53CE8">
            <w:pPr>
              <w:widowControl/>
              <w:spacing w:line="360" w:lineRule="auto"/>
              <w:jc w:val="center"/>
              <w:rPr>
                <w:rFonts w:eastAsia="楷体_GB2312"/>
                <w:sz w:val="24"/>
                <w:lang w:eastAsia="zh-TW"/>
              </w:rPr>
            </w:pPr>
          </w:p>
        </w:tc>
      </w:tr>
      <w:tr w14:paraId="3DD14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44F10274">
            <w:pPr>
              <w:widowControl/>
              <w:spacing w:line="360" w:lineRule="auto"/>
              <w:jc w:val="left"/>
              <w:rPr>
                <w:rFonts w:eastAsia="楷体_GB2312"/>
                <w:sz w:val="18"/>
                <w:lang w:eastAsia="zh-TW"/>
              </w:rPr>
            </w:pPr>
            <w:r>
              <w:rPr>
                <w:rFonts w:eastAsia="楷体_GB2312"/>
                <w:sz w:val="18"/>
                <w:lang w:eastAsia="zh-TW"/>
              </w:rPr>
              <w:t>第4期</w:t>
            </w:r>
          </w:p>
        </w:tc>
        <w:tc>
          <w:tcPr>
            <w:tcW w:w="2127" w:type="dxa"/>
            <w:tcBorders>
              <w:top w:val="single" w:color="auto" w:sz="4" w:space="0"/>
              <w:left w:val="single" w:color="auto" w:sz="4" w:space="0"/>
              <w:bottom w:val="single" w:color="auto" w:sz="4" w:space="0"/>
              <w:right w:val="single" w:color="auto" w:sz="4" w:space="0"/>
            </w:tcBorders>
          </w:tcPr>
          <w:p w14:paraId="6CF7E4D2">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7D122D78">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3D674510">
            <w:pPr>
              <w:widowControl/>
              <w:spacing w:line="360" w:lineRule="auto"/>
              <w:jc w:val="center"/>
              <w:rPr>
                <w:rFonts w:eastAsia="楷体_GB2312"/>
                <w:sz w:val="24"/>
                <w:lang w:eastAsia="zh-TW"/>
              </w:rPr>
            </w:pPr>
          </w:p>
        </w:tc>
      </w:tr>
      <w:tr w14:paraId="0F3272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004BFE1">
            <w:pPr>
              <w:widowControl/>
              <w:spacing w:line="360" w:lineRule="auto"/>
              <w:jc w:val="left"/>
              <w:rPr>
                <w:rFonts w:eastAsia="楷体_GB2312"/>
                <w:sz w:val="18"/>
                <w:lang w:eastAsia="zh-TW"/>
              </w:rPr>
            </w:pPr>
            <w:r>
              <w:rPr>
                <w:rFonts w:eastAsia="楷体_GB2312"/>
                <w:sz w:val="18"/>
                <w:lang w:eastAsia="zh-TW"/>
              </w:rPr>
              <w:t>第5期</w:t>
            </w:r>
          </w:p>
        </w:tc>
        <w:tc>
          <w:tcPr>
            <w:tcW w:w="2127" w:type="dxa"/>
            <w:tcBorders>
              <w:top w:val="single" w:color="auto" w:sz="4" w:space="0"/>
              <w:left w:val="single" w:color="auto" w:sz="4" w:space="0"/>
              <w:bottom w:val="single" w:color="auto" w:sz="4" w:space="0"/>
              <w:right w:val="single" w:color="auto" w:sz="4" w:space="0"/>
            </w:tcBorders>
          </w:tcPr>
          <w:p w14:paraId="7141E2E4">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07AA41F6">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29B13B08">
            <w:pPr>
              <w:widowControl/>
              <w:spacing w:line="360" w:lineRule="auto"/>
              <w:jc w:val="center"/>
              <w:rPr>
                <w:rFonts w:eastAsia="楷体_GB2312"/>
                <w:sz w:val="24"/>
                <w:lang w:eastAsia="zh-TW"/>
              </w:rPr>
            </w:pPr>
          </w:p>
        </w:tc>
      </w:tr>
      <w:tr w14:paraId="42DC1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1D5AD03A">
            <w:pPr>
              <w:widowControl/>
              <w:spacing w:line="360" w:lineRule="auto"/>
              <w:jc w:val="left"/>
              <w:rPr>
                <w:rFonts w:eastAsia="楷体_GB2312"/>
                <w:sz w:val="18"/>
                <w:lang w:eastAsia="zh-TW"/>
              </w:rPr>
            </w:pPr>
            <w:r>
              <w:rPr>
                <w:rFonts w:eastAsia="楷体_GB2312"/>
                <w:sz w:val="18"/>
                <w:lang w:eastAsia="zh-TW"/>
              </w:rPr>
              <w:t>第6期</w:t>
            </w:r>
          </w:p>
        </w:tc>
        <w:tc>
          <w:tcPr>
            <w:tcW w:w="2127" w:type="dxa"/>
            <w:tcBorders>
              <w:top w:val="single" w:color="auto" w:sz="4" w:space="0"/>
              <w:left w:val="single" w:color="auto" w:sz="4" w:space="0"/>
              <w:bottom w:val="single" w:color="auto" w:sz="4" w:space="0"/>
              <w:right w:val="single" w:color="auto" w:sz="4" w:space="0"/>
            </w:tcBorders>
          </w:tcPr>
          <w:p w14:paraId="3FF30482">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6900B4FC">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5B2C0581">
            <w:pPr>
              <w:widowControl/>
              <w:spacing w:line="360" w:lineRule="auto"/>
              <w:jc w:val="center"/>
              <w:rPr>
                <w:rFonts w:eastAsia="楷体_GB2312"/>
                <w:sz w:val="24"/>
                <w:lang w:eastAsia="zh-TW"/>
              </w:rPr>
            </w:pPr>
          </w:p>
        </w:tc>
      </w:tr>
      <w:tr w14:paraId="6229A3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11657A98">
            <w:pPr>
              <w:widowControl/>
              <w:spacing w:line="360" w:lineRule="auto"/>
              <w:jc w:val="left"/>
              <w:rPr>
                <w:rFonts w:eastAsia="楷体_GB2312"/>
                <w:sz w:val="18"/>
                <w:lang w:eastAsia="zh-TW"/>
              </w:rPr>
            </w:pPr>
            <w:r>
              <w:rPr>
                <w:rFonts w:eastAsia="楷体_GB2312"/>
                <w:sz w:val="18"/>
                <w:lang w:eastAsia="zh-TW"/>
              </w:rPr>
              <w:t>第7期</w:t>
            </w:r>
          </w:p>
        </w:tc>
        <w:tc>
          <w:tcPr>
            <w:tcW w:w="2127" w:type="dxa"/>
            <w:tcBorders>
              <w:top w:val="single" w:color="auto" w:sz="4" w:space="0"/>
              <w:left w:val="single" w:color="auto" w:sz="4" w:space="0"/>
              <w:bottom w:val="single" w:color="auto" w:sz="4" w:space="0"/>
              <w:right w:val="single" w:color="auto" w:sz="4" w:space="0"/>
            </w:tcBorders>
          </w:tcPr>
          <w:p w14:paraId="7D1CD5AF">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563E8AD1">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386051A9">
            <w:pPr>
              <w:widowControl/>
              <w:spacing w:line="360" w:lineRule="auto"/>
              <w:jc w:val="center"/>
              <w:rPr>
                <w:rFonts w:eastAsia="楷体_GB2312"/>
                <w:sz w:val="24"/>
                <w:lang w:eastAsia="zh-TW"/>
              </w:rPr>
            </w:pPr>
          </w:p>
        </w:tc>
      </w:tr>
      <w:tr w14:paraId="0374E8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7264D214">
            <w:pPr>
              <w:widowControl/>
              <w:spacing w:line="360" w:lineRule="auto"/>
              <w:jc w:val="left"/>
              <w:rPr>
                <w:rFonts w:eastAsia="楷体_GB2312"/>
                <w:sz w:val="18"/>
              </w:rPr>
            </w:pPr>
            <w:r>
              <w:rPr>
                <w:rFonts w:eastAsia="楷体_GB2312"/>
                <w:sz w:val="18"/>
              </w:rPr>
              <w:t>……</w:t>
            </w:r>
          </w:p>
        </w:tc>
        <w:tc>
          <w:tcPr>
            <w:tcW w:w="2127" w:type="dxa"/>
            <w:tcBorders>
              <w:top w:val="single" w:color="auto" w:sz="4" w:space="0"/>
              <w:left w:val="single" w:color="auto" w:sz="4" w:space="0"/>
              <w:bottom w:val="single" w:color="auto" w:sz="4" w:space="0"/>
              <w:right w:val="single" w:color="auto" w:sz="4" w:space="0"/>
            </w:tcBorders>
          </w:tcPr>
          <w:p w14:paraId="20DC2AF9">
            <w:pPr>
              <w:widowControl/>
              <w:spacing w:line="360" w:lineRule="auto"/>
              <w:jc w:val="center"/>
              <w:rPr>
                <w:rFonts w:eastAsia="楷体_GB2312"/>
                <w:sz w:val="24"/>
                <w:lang w:eastAsia="zh-TW"/>
              </w:rPr>
            </w:pPr>
          </w:p>
        </w:tc>
        <w:tc>
          <w:tcPr>
            <w:tcW w:w="2128" w:type="dxa"/>
            <w:tcBorders>
              <w:top w:val="single" w:color="auto" w:sz="4" w:space="0"/>
              <w:left w:val="single" w:color="auto" w:sz="4" w:space="0"/>
              <w:bottom w:val="single" w:color="auto" w:sz="4" w:space="0"/>
              <w:right w:val="nil"/>
            </w:tcBorders>
          </w:tcPr>
          <w:p w14:paraId="396966E7">
            <w:pPr>
              <w:widowControl/>
              <w:spacing w:line="360" w:lineRule="auto"/>
              <w:jc w:val="center"/>
              <w:rPr>
                <w:rFonts w:eastAsia="楷体_GB2312"/>
                <w:sz w:val="24"/>
                <w:lang w:eastAsia="zh-TW"/>
              </w:rPr>
            </w:pPr>
          </w:p>
        </w:tc>
        <w:tc>
          <w:tcPr>
            <w:tcW w:w="2269" w:type="dxa"/>
            <w:tcBorders>
              <w:top w:val="single" w:color="auto" w:sz="4" w:space="0"/>
              <w:left w:val="single" w:color="auto" w:sz="4" w:space="0"/>
              <w:bottom w:val="single" w:color="auto" w:sz="4" w:space="0"/>
              <w:right w:val="single" w:color="auto" w:sz="4" w:space="0"/>
            </w:tcBorders>
          </w:tcPr>
          <w:p w14:paraId="1B9D7A98">
            <w:pPr>
              <w:widowControl/>
              <w:spacing w:line="360" w:lineRule="auto"/>
              <w:jc w:val="center"/>
              <w:rPr>
                <w:rFonts w:eastAsia="楷体_GB2312"/>
                <w:sz w:val="24"/>
                <w:lang w:eastAsia="zh-TW"/>
              </w:rPr>
            </w:pPr>
          </w:p>
        </w:tc>
      </w:tr>
    </w:tbl>
    <w:p w14:paraId="37052A7C">
      <w:pPr>
        <w:rPr>
          <w:rFonts w:eastAsia="楷体_GB2312"/>
        </w:rPr>
      </w:pPr>
    </w:p>
    <w:p w14:paraId="5C3BBA2D">
      <w:pPr>
        <w:rPr>
          <w:rFonts w:eastAsia="楷体_GB2312"/>
        </w:rPr>
      </w:pPr>
    </w:p>
    <w:p w14:paraId="7A623619">
      <w:pPr>
        <w:rPr>
          <w:rFonts w:eastAsia="楷体_GB2312"/>
        </w:rPr>
      </w:pPr>
    </w:p>
    <w:p w14:paraId="24C2508C">
      <w:pPr>
        <w:widowControl/>
        <w:jc w:val="left"/>
        <w:rPr>
          <w:rFonts w:eastAsia="楷体_GB2312"/>
        </w:rPr>
      </w:pPr>
      <w:r>
        <w:rPr>
          <w:rFonts w:eastAsia="楷体_GB2312"/>
        </w:rPr>
        <w:br w:type="page"/>
      </w:r>
    </w:p>
    <w:tbl>
      <w:tblPr>
        <w:tblStyle w:val="27"/>
        <w:tblW w:w="847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1559"/>
        <w:gridCol w:w="1702"/>
        <w:gridCol w:w="1419"/>
        <w:gridCol w:w="1844"/>
      </w:tblGrid>
      <w:tr w14:paraId="7D063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left w:val="single" w:color="auto" w:sz="4" w:space="0"/>
              <w:bottom w:val="single" w:color="auto" w:sz="4" w:space="0"/>
              <w:right w:val="single" w:color="auto" w:sz="4" w:space="0"/>
            </w:tcBorders>
          </w:tcPr>
          <w:p w14:paraId="4D98E140">
            <w:pPr>
              <w:widowControl/>
              <w:spacing w:line="360" w:lineRule="auto"/>
              <w:jc w:val="center"/>
              <w:rPr>
                <w:rFonts w:eastAsia="楷体_GB2312"/>
                <w:b/>
                <w:sz w:val="28"/>
              </w:rPr>
            </w:pPr>
            <w:r>
              <w:rPr>
                <w:rFonts w:eastAsia="楷体_GB2312"/>
                <w:b/>
                <w:sz w:val="28"/>
              </w:rPr>
              <w:t>【信托名称】受托机构报告</w:t>
            </w:r>
          </w:p>
        </w:tc>
      </w:tr>
      <w:tr w14:paraId="4C6E66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472" w:type="dxa"/>
            <w:gridSpan w:val="5"/>
            <w:tcBorders>
              <w:top w:val="single" w:color="auto" w:sz="4" w:space="0"/>
              <w:left w:val="single" w:color="auto" w:sz="4" w:space="0"/>
              <w:bottom w:val="single" w:color="auto" w:sz="4" w:space="0"/>
              <w:right w:val="single" w:color="auto" w:sz="4" w:space="0"/>
            </w:tcBorders>
          </w:tcPr>
          <w:p w14:paraId="739E3D72">
            <w:pPr>
              <w:widowControl/>
              <w:spacing w:line="360" w:lineRule="auto"/>
              <w:jc w:val="left"/>
              <w:rPr>
                <w:rFonts w:eastAsia="楷体_GB2312"/>
                <w:b/>
                <w:szCs w:val="21"/>
              </w:rPr>
            </w:pPr>
            <w:r>
              <w:rPr>
                <w:rFonts w:eastAsia="楷体_GB2312"/>
                <w:b/>
                <w:szCs w:val="21"/>
              </w:rPr>
              <w:t>三、资产池情况</w:t>
            </w:r>
          </w:p>
          <w:p w14:paraId="18A821D9">
            <w:pPr>
              <w:widowControl/>
              <w:spacing w:line="360" w:lineRule="auto"/>
              <w:jc w:val="left"/>
              <w:rPr>
                <w:rFonts w:eastAsia="楷体_GB2312"/>
                <w:bCs/>
                <w:szCs w:val="21"/>
              </w:rPr>
            </w:pPr>
            <w:r>
              <w:rPr>
                <w:rFonts w:eastAsia="楷体_GB2312"/>
                <w:bCs/>
                <w:szCs w:val="21"/>
              </w:rPr>
              <w:t>（五）资产池现金流归集表</w:t>
            </w:r>
          </w:p>
          <w:p w14:paraId="052736CF">
            <w:pPr>
              <w:widowControl/>
              <w:spacing w:line="360" w:lineRule="auto"/>
              <w:jc w:val="left"/>
              <w:rPr>
                <w:rFonts w:eastAsia="楷体_GB2312"/>
                <w:sz w:val="24"/>
              </w:rPr>
            </w:pPr>
            <w:r>
              <w:rPr>
                <w:rFonts w:eastAsia="楷体_GB2312"/>
                <w:szCs w:val="21"/>
              </w:rPr>
              <w:t>（正常情景下，指按摊还计划对每个收款期间现金流进行归集，不考虑早偿、拖欠、违约、回收等情况。若在此报告时点已经发生的早偿贷款则应该从现金流摊还计划表中剔除）</w:t>
            </w:r>
          </w:p>
        </w:tc>
      </w:tr>
      <w:tr w14:paraId="799AD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426A00B7">
            <w:pPr>
              <w:widowControl/>
              <w:spacing w:line="360" w:lineRule="auto"/>
              <w:jc w:val="left"/>
              <w:rPr>
                <w:rFonts w:eastAsia="楷体_GB2312"/>
                <w:b/>
                <w:sz w:val="18"/>
                <w:szCs w:val="18"/>
              </w:rPr>
            </w:pPr>
            <w:r>
              <w:rPr>
                <w:rFonts w:eastAsia="楷体_GB2312"/>
                <w:b/>
                <w:sz w:val="18"/>
                <w:szCs w:val="18"/>
              </w:rPr>
              <w:t>计算日（收款期间期末日期）</w:t>
            </w:r>
          </w:p>
        </w:tc>
        <w:tc>
          <w:tcPr>
            <w:tcW w:w="1559" w:type="dxa"/>
            <w:tcBorders>
              <w:top w:val="single" w:color="auto" w:sz="4" w:space="0"/>
              <w:left w:val="single" w:color="auto" w:sz="4" w:space="0"/>
              <w:bottom w:val="single" w:color="auto" w:sz="4" w:space="0"/>
              <w:right w:val="single" w:color="auto" w:sz="4" w:space="0"/>
            </w:tcBorders>
          </w:tcPr>
          <w:p w14:paraId="77AA4232">
            <w:pPr>
              <w:widowControl/>
              <w:spacing w:line="360" w:lineRule="auto"/>
              <w:jc w:val="left"/>
              <w:rPr>
                <w:rFonts w:eastAsia="楷体_GB2312"/>
                <w:b/>
                <w:sz w:val="18"/>
                <w:lang w:eastAsia="zh-TW"/>
              </w:rPr>
            </w:pPr>
            <w:r>
              <w:rPr>
                <w:rFonts w:eastAsia="楷体_GB2312"/>
                <w:b/>
                <w:sz w:val="18"/>
                <w:lang w:eastAsia="zh-TW"/>
              </w:rPr>
              <w:t>期初本金总余额</w:t>
            </w:r>
          </w:p>
        </w:tc>
        <w:tc>
          <w:tcPr>
            <w:tcW w:w="1701" w:type="dxa"/>
            <w:tcBorders>
              <w:top w:val="single" w:color="auto" w:sz="4" w:space="0"/>
              <w:left w:val="single" w:color="auto" w:sz="4" w:space="0"/>
              <w:bottom w:val="single" w:color="auto" w:sz="4" w:space="0"/>
              <w:right w:val="single" w:color="auto" w:sz="4" w:space="0"/>
            </w:tcBorders>
          </w:tcPr>
          <w:p w14:paraId="59BA7093">
            <w:pPr>
              <w:widowControl/>
              <w:spacing w:line="360" w:lineRule="auto"/>
              <w:jc w:val="left"/>
              <w:rPr>
                <w:rFonts w:eastAsia="楷体_GB2312"/>
                <w:b/>
                <w:sz w:val="18"/>
                <w:lang w:eastAsia="zh-TW"/>
              </w:rPr>
            </w:pPr>
            <w:r>
              <w:rPr>
                <w:rFonts w:eastAsia="楷体_GB2312"/>
                <w:b/>
                <w:sz w:val="18"/>
                <w:lang w:eastAsia="zh-TW"/>
              </w:rPr>
              <w:t>本期应收本金</w:t>
            </w:r>
          </w:p>
        </w:tc>
        <w:tc>
          <w:tcPr>
            <w:tcW w:w="1418" w:type="dxa"/>
            <w:tcBorders>
              <w:top w:val="single" w:color="auto" w:sz="4" w:space="0"/>
              <w:left w:val="single" w:color="auto" w:sz="4" w:space="0"/>
              <w:bottom w:val="single" w:color="auto" w:sz="4" w:space="0"/>
              <w:right w:val="single" w:color="auto" w:sz="4" w:space="0"/>
            </w:tcBorders>
          </w:tcPr>
          <w:p w14:paraId="607D8D58">
            <w:pPr>
              <w:widowControl/>
              <w:spacing w:line="360" w:lineRule="auto"/>
              <w:jc w:val="left"/>
              <w:rPr>
                <w:rFonts w:eastAsia="楷体_GB2312"/>
                <w:b/>
                <w:sz w:val="24"/>
                <w:lang w:eastAsia="zh-TW"/>
              </w:rPr>
            </w:pPr>
            <w:r>
              <w:rPr>
                <w:rFonts w:eastAsia="楷体_GB2312"/>
                <w:b/>
                <w:sz w:val="18"/>
                <w:lang w:eastAsia="zh-TW"/>
              </w:rPr>
              <w:t>本期应收利息</w:t>
            </w:r>
          </w:p>
        </w:tc>
        <w:tc>
          <w:tcPr>
            <w:tcW w:w="1843" w:type="dxa"/>
            <w:tcBorders>
              <w:top w:val="single" w:color="auto" w:sz="4" w:space="0"/>
              <w:left w:val="single" w:color="auto" w:sz="4" w:space="0"/>
              <w:bottom w:val="single" w:color="auto" w:sz="4" w:space="0"/>
              <w:right w:val="single" w:color="auto" w:sz="4" w:space="0"/>
            </w:tcBorders>
          </w:tcPr>
          <w:p w14:paraId="4BA44FEB">
            <w:pPr>
              <w:widowControl/>
              <w:spacing w:line="360" w:lineRule="auto"/>
              <w:jc w:val="left"/>
              <w:rPr>
                <w:rFonts w:eastAsia="楷体_GB2312"/>
                <w:b/>
                <w:sz w:val="24"/>
              </w:rPr>
            </w:pPr>
            <w:r>
              <w:rPr>
                <w:rFonts w:eastAsia="楷体_GB2312"/>
                <w:b/>
                <w:sz w:val="18"/>
              </w:rPr>
              <w:t>期末本金总余额</w:t>
            </w:r>
          </w:p>
        </w:tc>
      </w:tr>
      <w:tr w14:paraId="1D3EBE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44B33744">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2A5C1521">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29A35C45">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7B178F44">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51E0197D">
            <w:pPr>
              <w:widowControl/>
              <w:spacing w:line="360" w:lineRule="auto"/>
              <w:jc w:val="left"/>
              <w:rPr>
                <w:rFonts w:eastAsia="楷体_GB2312"/>
                <w:sz w:val="18"/>
                <w:szCs w:val="18"/>
                <w:lang w:eastAsia="zh-TW"/>
              </w:rPr>
            </w:pPr>
          </w:p>
        </w:tc>
      </w:tr>
      <w:tr w14:paraId="16E4D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0B2F873B">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3963A2F3">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3E6F06D0">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44653ECA">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7B26B46E">
            <w:pPr>
              <w:widowControl/>
              <w:spacing w:line="360" w:lineRule="auto"/>
              <w:jc w:val="left"/>
              <w:rPr>
                <w:rFonts w:eastAsia="楷体_GB2312"/>
                <w:sz w:val="18"/>
                <w:szCs w:val="18"/>
                <w:lang w:eastAsia="zh-TW"/>
              </w:rPr>
            </w:pPr>
          </w:p>
        </w:tc>
      </w:tr>
      <w:tr w14:paraId="6C6CCB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63845381">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668476BE">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02CC5309">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739A24FB">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7B89B189">
            <w:pPr>
              <w:widowControl/>
              <w:spacing w:line="360" w:lineRule="auto"/>
              <w:jc w:val="left"/>
              <w:rPr>
                <w:rFonts w:eastAsia="楷体_GB2312"/>
                <w:sz w:val="18"/>
                <w:szCs w:val="18"/>
                <w:lang w:eastAsia="zh-TW"/>
              </w:rPr>
            </w:pPr>
          </w:p>
        </w:tc>
      </w:tr>
      <w:tr w14:paraId="6211D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24C336C2">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70188751">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780C1C44">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03A56800">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7B936EE2">
            <w:pPr>
              <w:widowControl/>
              <w:spacing w:line="360" w:lineRule="auto"/>
              <w:jc w:val="left"/>
              <w:rPr>
                <w:rFonts w:eastAsia="楷体_GB2312"/>
                <w:sz w:val="18"/>
                <w:szCs w:val="18"/>
                <w:lang w:eastAsia="zh-TW"/>
              </w:rPr>
            </w:pPr>
          </w:p>
        </w:tc>
      </w:tr>
      <w:tr w14:paraId="15A6F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14:paraId="629A142E">
            <w:pPr>
              <w:widowControl/>
              <w:spacing w:line="360" w:lineRule="auto"/>
              <w:jc w:val="left"/>
              <w:rPr>
                <w:rFonts w:eastAsia="楷体_GB2312"/>
                <w:sz w:val="18"/>
                <w:szCs w:val="18"/>
                <w:lang w:eastAsia="zh-TW"/>
              </w:rPr>
            </w:pPr>
          </w:p>
        </w:tc>
        <w:tc>
          <w:tcPr>
            <w:tcW w:w="1559" w:type="dxa"/>
            <w:tcBorders>
              <w:top w:val="single" w:color="auto" w:sz="4" w:space="0"/>
              <w:left w:val="single" w:color="auto" w:sz="4" w:space="0"/>
              <w:bottom w:val="single" w:color="auto" w:sz="4" w:space="0"/>
              <w:right w:val="single" w:color="auto" w:sz="4" w:space="0"/>
            </w:tcBorders>
          </w:tcPr>
          <w:p w14:paraId="4C0512A9">
            <w:pPr>
              <w:widowControl/>
              <w:spacing w:line="360" w:lineRule="auto"/>
              <w:jc w:val="left"/>
              <w:rPr>
                <w:rFonts w:eastAsia="楷体_GB2312"/>
                <w:sz w:val="18"/>
                <w:szCs w:val="18"/>
                <w:lang w:eastAsia="zh-TW"/>
              </w:rPr>
            </w:pPr>
          </w:p>
        </w:tc>
        <w:tc>
          <w:tcPr>
            <w:tcW w:w="1701" w:type="dxa"/>
            <w:tcBorders>
              <w:top w:val="single" w:color="auto" w:sz="4" w:space="0"/>
              <w:left w:val="single" w:color="auto" w:sz="4" w:space="0"/>
              <w:bottom w:val="single" w:color="auto" w:sz="4" w:space="0"/>
              <w:right w:val="single" w:color="auto" w:sz="4" w:space="0"/>
            </w:tcBorders>
          </w:tcPr>
          <w:p w14:paraId="79A9B116">
            <w:pPr>
              <w:widowControl/>
              <w:spacing w:line="360" w:lineRule="auto"/>
              <w:jc w:val="left"/>
              <w:rPr>
                <w:rFonts w:eastAsia="楷体_GB2312"/>
                <w:sz w:val="18"/>
                <w:szCs w:val="18"/>
                <w:lang w:eastAsia="zh-TW"/>
              </w:rPr>
            </w:pPr>
          </w:p>
        </w:tc>
        <w:tc>
          <w:tcPr>
            <w:tcW w:w="1418" w:type="dxa"/>
            <w:tcBorders>
              <w:top w:val="single" w:color="auto" w:sz="4" w:space="0"/>
              <w:left w:val="single" w:color="auto" w:sz="4" w:space="0"/>
              <w:bottom w:val="single" w:color="auto" w:sz="4" w:space="0"/>
              <w:right w:val="single" w:color="auto" w:sz="4" w:space="0"/>
            </w:tcBorders>
          </w:tcPr>
          <w:p w14:paraId="7DFB9512">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3792CBF3">
            <w:pPr>
              <w:widowControl/>
              <w:spacing w:line="360" w:lineRule="auto"/>
              <w:jc w:val="left"/>
              <w:rPr>
                <w:rFonts w:eastAsia="楷体_GB2312"/>
                <w:sz w:val="18"/>
                <w:szCs w:val="18"/>
                <w:lang w:eastAsia="zh-TW"/>
              </w:rPr>
            </w:pPr>
          </w:p>
        </w:tc>
      </w:tr>
    </w:tbl>
    <w:p w14:paraId="4299EE4C">
      <w:pPr>
        <w:rPr>
          <w:rFonts w:eastAsia="楷体_GB2312"/>
        </w:rPr>
      </w:pPr>
    </w:p>
    <w:p w14:paraId="2657A31E">
      <w:pPr>
        <w:widowControl/>
        <w:jc w:val="left"/>
        <w:rPr>
          <w:rFonts w:eastAsia="楷体_GB2312"/>
        </w:rPr>
      </w:pPr>
      <w:r>
        <w:rPr>
          <w:rFonts w:eastAsia="楷体_GB2312"/>
        </w:rPr>
        <w:br w:type="page"/>
      </w:r>
    </w:p>
    <w:p w14:paraId="0B1970A5">
      <w:pPr>
        <w:widowControl/>
        <w:jc w:val="left"/>
        <w:rPr>
          <w:rFonts w:eastAsia="楷体_GB2312"/>
        </w:rPr>
      </w:pPr>
    </w:p>
    <w:tbl>
      <w:tblPr>
        <w:tblStyle w:val="27"/>
        <w:tblW w:w="868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013"/>
        <w:gridCol w:w="1737"/>
        <w:gridCol w:w="2461"/>
        <w:gridCol w:w="2606"/>
      </w:tblGrid>
      <w:tr w14:paraId="16E2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692" w:type="dxa"/>
            <w:gridSpan w:val="5"/>
            <w:tcBorders>
              <w:top w:val="single" w:color="auto" w:sz="4" w:space="0"/>
              <w:left w:val="single" w:color="auto" w:sz="4" w:space="0"/>
              <w:bottom w:val="single" w:color="auto" w:sz="4" w:space="0"/>
              <w:right w:val="single" w:color="auto" w:sz="4" w:space="0"/>
            </w:tcBorders>
          </w:tcPr>
          <w:p w14:paraId="6A032D00">
            <w:pPr>
              <w:widowControl/>
              <w:spacing w:line="360" w:lineRule="auto"/>
              <w:ind w:left="-817" w:leftChars="-389" w:firstLine="956" w:firstLineChars="340"/>
              <w:jc w:val="center"/>
              <w:rPr>
                <w:rFonts w:eastAsia="楷体_GB2312"/>
                <w:b/>
                <w:sz w:val="28"/>
              </w:rPr>
            </w:pPr>
            <w:r>
              <w:rPr>
                <w:rFonts w:eastAsia="楷体_GB2312"/>
                <w:b/>
                <w:sz w:val="28"/>
              </w:rPr>
              <w:t>【信托名称】受托机构报告</w:t>
            </w:r>
          </w:p>
        </w:tc>
      </w:tr>
      <w:tr w14:paraId="3B44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692" w:type="dxa"/>
            <w:gridSpan w:val="5"/>
            <w:tcBorders>
              <w:top w:val="single" w:color="auto" w:sz="4" w:space="0"/>
              <w:left w:val="single" w:color="auto" w:sz="4" w:space="0"/>
              <w:bottom w:val="single" w:color="auto" w:sz="4" w:space="0"/>
              <w:right w:val="single" w:color="auto" w:sz="4" w:space="0"/>
            </w:tcBorders>
            <w:shd w:val="clear" w:color="auto" w:fill="FFFFFF"/>
          </w:tcPr>
          <w:p w14:paraId="0209AE26">
            <w:pPr>
              <w:widowControl/>
              <w:spacing w:line="360" w:lineRule="auto"/>
              <w:jc w:val="left"/>
              <w:rPr>
                <w:rFonts w:eastAsia="楷体_GB2312"/>
                <w:b/>
                <w:szCs w:val="21"/>
              </w:rPr>
            </w:pPr>
            <w:r>
              <w:rPr>
                <w:rFonts w:eastAsia="楷体_GB2312"/>
                <w:b/>
                <w:szCs w:val="21"/>
              </w:rPr>
              <w:t>三、资产池情况</w:t>
            </w:r>
          </w:p>
          <w:p w14:paraId="486A90DD">
            <w:pPr>
              <w:widowControl/>
              <w:spacing w:line="360" w:lineRule="auto"/>
              <w:jc w:val="left"/>
              <w:rPr>
                <w:rFonts w:eastAsia="楷体_GB2312"/>
                <w:bCs/>
                <w:sz w:val="24"/>
              </w:rPr>
            </w:pPr>
            <w:r>
              <w:rPr>
                <w:rFonts w:eastAsia="楷体_GB2312"/>
                <w:bCs/>
                <w:szCs w:val="21"/>
              </w:rPr>
              <w:t>（六）资产池现金流入情况</w:t>
            </w:r>
          </w:p>
        </w:tc>
      </w:tr>
      <w:tr w14:paraId="076C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tcPr>
          <w:p w14:paraId="48A9389B">
            <w:pPr>
              <w:widowControl/>
              <w:spacing w:line="360" w:lineRule="auto"/>
              <w:jc w:val="left"/>
              <w:rPr>
                <w:rFonts w:eastAsia="楷体_GB2312"/>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1EED701F">
            <w:pPr>
              <w:widowControl/>
              <w:spacing w:line="360" w:lineRule="auto"/>
              <w:jc w:val="center"/>
              <w:rPr>
                <w:rFonts w:eastAsia="楷体_GB2312"/>
                <w:b/>
                <w:bCs/>
                <w:szCs w:val="21"/>
                <w:lang w:eastAsia="zh-TW"/>
              </w:rPr>
            </w:pPr>
            <w:r>
              <w:rPr>
                <w:rFonts w:eastAsia="楷体_GB2312"/>
                <w:b/>
                <w:bCs/>
                <w:szCs w:val="21"/>
                <w:lang w:eastAsia="zh-TW"/>
              </w:rPr>
              <w:t>科目</w:t>
            </w:r>
          </w:p>
        </w:tc>
        <w:tc>
          <w:tcPr>
            <w:tcW w:w="2463" w:type="dxa"/>
            <w:tcBorders>
              <w:top w:val="single" w:color="auto" w:sz="4" w:space="0"/>
              <w:left w:val="single" w:color="auto" w:sz="4" w:space="0"/>
              <w:bottom w:val="single" w:color="auto" w:sz="4" w:space="0"/>
              <w:right w:val="single" w:color="auto" w:sz="4" w:space="0"/>
            </w:tcBorders>
            <w:shd w:val="clear" w:color="auto" w:fill="FFFFFF"/>
          </w:tcPr>
          <w:p w14:paraId="15F318A0">
            <w:pPr>
              <w:widowControl/>
              <w:spacing w:line="360" w:lineRule="auto"/>
              <w:jc w:val="center"/>
              <w:rPr>
                <w:rFonts w:eastAsia="楷体_GB2312"/>
                <w:b/>
                <w:bCs/>
                <w:szCs w:val="21"/>
                <w:lang w:eastAsia="zh-TW"/>
              </w:rPr>
            </w:pPr>
            <w:r>
              <w:rPr>
                <w:rFonts w:eastAsia="楷体_GB2312"/>
                <w:b/>
                <w:bCs/>
                <w:szCs w:val="21"/>
                <w:lang w:eastAsia="zh-TW"/>
              </w:rPr>
              <w:t>上一报告期</w:t>
            </w:r>
          </w:p>
        </w:tc>
        <w:tc>
          <w:tcPr>
            <w:tcW w:w="2608" w:type="dxa"/>
            <w:tcBorders>
              <w:top w:val="single" w:color="auto" w:sz="4" w:space="0"/>
              <w:left w:val="single" w:color="auto" w:sz="4" w:space="0"/>
              <w:bottom w:val="single" w:color="auto" w:sz="4" w:space="0"/>
              <w:right w:val="single" w:color="auto" w:sz="4" w:space="0"/>
            </w:tcBorders>
            <w:shd w:val="clear" w:color="auto" w:fill="FFFFFF"/>
          </w:tcPr>
          <w:p w14:paraId="2A0470EB">
            <w:pPr>
              <w:widowControl/>
              <w:spacing w:line="360" w:lineRule="auto"/>
              <w:jc w:val="center"/>
              <w:rPr>
                <w:rFonts w:eastAsia="楷体_GB2312"/>
                <w:b/>
                <w:bCs/>
                <w:szCs w:val="21"/>
                <w:lang w:eastAsia="zh-TW"/>
              </w:rPr>
            </w:pPr>
            <w:r>
              <w:rPr>
                <w:rFonts w:eastAsia="楷体_GB2312"/>
                <w:b/>
                <w:bCs/>
                <w:szCs w:val="21"/>
                <w:lang w:eastAsia="zh-TW"/>
              </w:rPr>
              <w:t>本报告期</w:t>
            </w:r>
          </w:p>
        </w:tc>
      </w:tr>
      <w:tr w14:paraId="5678C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extDirection w:val="tbRlV"/>
            <w:vAlign w:val="center"/>
          </w:tcPr>
          <w:p w14:paraId="6DB97A47">
            <w:pPr>
              <w:widowControl/>
              <w:spacing w:line="360" w:lineRule="auto"/>
              <w:ind w:left="113" w:right="113"/>
              <w:jc w:val="center"/>
              <w:rPr>
                <w:rFonts w:eastAsia="楷体_GB2312"/>
                <w:b/>
                <w:bCs/>
                <w:szCs w:val="21"/>
              </w:rPr>
            </w:pPr>
            <w:r>
              <w:rPr>
                <w:rFonts w:eastAsia="楷体_GB2312"/>
                <w:b/>
                <w:bCs/>
                <w:szCs w:val="21"/>
                <w:lang w:eastAsia="zh-TW"/>
              </w:rPr>
              <w:t>收入</w:t>
            </w:r>
            <w:r>
              <w:rPr>
                <w:rFonts w:eastAsia="楷体_GB2312"/>
                <w:b/>
                <w:bCs/>
                <w:szCs w:val="21"/>
              </w:rPr>
              <w:t>账</w:t>
            </w:r>
          </w:p>
        </w:tc>
        <w:tc>
          <w:tcPr>
            <w:tcW w:w="1014" w:type="dxa"/>
            <w:vMerge w:val="restart"/>
            <w:tcBorders>
              <w:top w:val="single" w:color="auto" w:sz="4" w:space="0"/>
              <w:left w:val="single" w:color="auto" w:sz="4" w:space="0"/>
              <w:bottom w:val="single" w:color="auto" w:sz="4" w:space="0"/>
              <w:right w:val="single" w:color="auto" w:sz="4" w:space="0"/>
            </w:tcBorders>
            <w:vAlign w:val="center"/>
          </w:tcPr>
          <w:p w14:paraId="7F94D639">
            <w:pPr>
              <w:widowControl/>
              <w:spacing w:line="360" w:lineRule="auto"/>
              <w:jc w:val="center"/>
              <w:rPr>
                <w:rFonts w:eastAsia="楷体_GB2312"/>
                <w:szCs w:val="21"/>
                <w:lang w:eastAsia="zh-TW"/>
              </w:rPr>
            </w:pPr>
            <w:r>
              <w:rPr>
                <w:rFonts w:eastAsia="楷体_GB2312"/>
                <w:szCs w:val="21"/>
                <w:lang w:eastAsia="zh-TW"/>
              </w:rPr>
              <w:t>利息</w:t>
            </w:r>
          </w:p>
        </w:tc>
        <w:tc>
          <w:tcPr>
            <w:tcW w:w="1738" w:type="dxa"/>
            <w:tcBorders>
              <w:top w:val="single" w:color="auto" w:sz="4" w:space="0"/>
              <w:left w:val="single" w:color="auto" w:sz="4" w:space="0"/>
              <w:bottom w:val="single" w:color="auto" w:sz="4" w:space="0"/>
              <w:right w:val="single" w:color="auto" w:sz="4" w:space="0"/>
            </w:tcBorders>
          </w:tcPr>
          <w:p w14:paraId="0BEB4039">
            <w:pPr>
              <w:widowControl/>
              <w:spacing w:line="360" w:lineRule="auto"/>
              <w:jc w:val="left"/>
              <w:rPr>
                <w:rFonts w:eastAsia="楷体_GB2312"/>
                <w:szCs w:val="21"/>
                <w:lang w:eastAsia="zh-TW"/>
              </w:rPr>
            </w:pPr>
            <w:r>
              <w:rPr>
                <w:rFonts w:eastAsia="楷体_GB2312"/>
                <w:szCs w:val="21"/>
                <w:lang w:eastAsia="zh-TW"/>
              </w:rPr>
              <w:t>正常回收</w:t>
            </w:r>
          </w:p>
        </w:tc>
        <w:tc>
          <w:tcPr>
            <w:tcW w:w="2463" w:type="dxa"/>
            <w:tcBorders>
              <w:top w:val="single" w:color="auto" w:sz="4" w:space="0"/>
              <w:left w:val="single" w:color="auto" w:sz="4" w:space="0"/>
              <w:bottom w:val="single" w:color="auto" w:sz="4" w:space="0"/>
              <w:right w:val="single" w:color="auto" w:sz="4" w:space="0"/>
            </w:tcBorders>
          </w:tcPr>
          <w:p w14:paraId="5B0B7364">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156B55E">
            <w:pPr>
              <w:widowControl/>
              <w:spacing w:line="360" w:lineRule="auto"/>
              <w:jc w:val="left"/>
              <w:rPr>
                <w:rFonts w:eastAsia="楷体_GB2312"/>
                <w:szCs w:val="21"/>
                <w:lang w:eastAsia="zh-TW"/>
              </w:rPr>
            </w:pPr>
          </w:p>
        </w:tc>
      </w:tr>
      <w:tr w14:paraId="411E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1CB4D51">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1F6216F0">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1116A811">
            <w:pPr>
              <w:widowControl/>
              <w:spacing w:line="360" w:lineRule="auto"/>
              <w:jc w:val="left"/>
              <w:rPr>
                <w:rFonts w:eastAsia="楷体_GB2312"/>
                <w:szCs w:val="21"/>
                <w:lang w:eastAsia="zh-TW"/>
              </w:rPr>
            </w:pPr>
            <w:r>
              <w:rPr>
                <w:rFonts w:eastAsia="楷体_GB2312"/>
                <w:szCs w:val="21"/>
                <w:lang w:eastAsia="zh-TW"/>
              </w:rPr>
              <w:t>全部提前偿还</w:t>
            </w:r>
          </w:p>
        </w:tc>
        <w:tc>
          <w:tcPr>
            <w:tcW w:w="2463" w:type="dxa"/>
            <w:tcBorders>
              <w:top w:val="single" w:color="auto" w:sz="4" w:space="0"/>
              <w:left w:val="single" w:color="auto" w:sz="4" w:space="0"/>
              <w:bottom w:val="single" w:color="auto" w:sz="4" w:space="0"/>
              <w:right w:val="single" w:color="auto" w:sz="4" w:space="0"/>
            </w:tcBorders>
          </w:tcPr>
          <w:p w14:paraId="2D3A5477">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1C72D3A">
            <w:pPr>
              <w:widowControl/>
              <w:spacing w:line="360" w:lineRule="auto"/>
              <w:jc w:val="left"/>
              <w:rPr>
                <w:rFonts w:eastAsia="楷体_GB2312"/>
                <w:szCs w:val="21"/>
                <w:lang w:eastAsia="zh-TW"/>
              </w:rPr>
            </w:pPr>
          </w:p>
        </w:tc>
      </w:tr>
      <w:tr w14:paraId="7443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6E9AC89">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D8CDB22">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7FBF9F9C">
            <w:pPr>
              <w:widowControl/>
              <w:spacing w:line="360" w:lineRule="auto"/>
              <w:jc w:val="left"/>
              <w:rPr>
                <w:rFonts w:eastAsia="楷体_GB2312"/>
                <w:szCs w:val="21"/>
                <w:lang w:eastAsia="zh-TW"/>
              </w:rPr>
            </w:pPr>
            <w:r>
              <w:rPr>
                <w:rFonts w:eastAsia="楷体_GB2312"/>
                <w:szCs w:val="21"/>
                <w:lang w:eastAsia="zh-TW"/>
              </w:rPr>
              <w:t>部分提前偿还</w:t>
            </w:r>
          </w:p>
        </w:tc>
        <w:tc>
          <w:tcPr>
            <w:tcW w:w="2463" w:type="dxa"/>
            <w:tcBorders>
              <w:top w:val="single" w:color="auto" w:sz="4" w:space="0"/>
              <w:left w:val="single" w:color="auto" w:sz="4" w:space="0"/>
              <w:bottom w:val="single" w:color="auto" w:sz="4" w:space="0"/>
              <w:right w:val="single" w:color="auto" w:sz="4" w:space="0"/>
            </w:tcBorders>
          </w:tcPr>
          <w:p w14:paraId="755B11F7">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41CD18F5">
            <w:pPr>
              <w:widowControl/>
              <w:spacing w:line="360" w:lineRule="auto"/>
              <w:jc w:val="left"/>
              <w:rPr>
                <w:rFonts w:eastAsia="楷体_GB2312"/>
                <w:szCs w:val="21"/>
                <w:lang w:eastAsia="zh-TW"/>
              </w:rPr>
            </w:pPr>
          </w:p>
        </w:tc>
      </w:tr>
      <w:tr w14:paraId="051D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25FEE62">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4549116C">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1F2E44B0">
            <w:pPr>
              <w:widowControl/>
              <w:spacing w:line="360" w:lineRule="auto"/>
              <w:jc w:val="left"/>
              <w:rPr>
                <w:rFonts w:eastAsia="楷体_GB2312"/>
                <w:szCs w:val="21"/>
                <w:lang w:eastAsia="zh-TW"/>
              </w:rPr>
            </w:pPr>
            <w:r>
              <w:rPr>
                <w:rFonts w:eastAsia="楷体_GB2312"/>
                <w:szCs w:val="21"/>
                <w:lang w:eastAsia="zh-TW"/>
              </w:rPr>
              <w:t>拖欠金额</w:t>
            </w:r>
          </w:p>
        </w:tc>
        <w:tc>
          <w:tcPr>
            <w:tcW w:w="2463" w:type="dxa"/>
            <w:tcBorders>
              <w:top w:val="single" w:color="auto" w:sz="4" w:space="0"/>
              <w:left w:val="single" w:color="auto" w:sz="4" w:space="0"/>
              <w:bottom w:val="single" w:color="auto" w:sz="4" w:space="0"/>
              <w:right w:val="single" w:color="auto" w:sz="4" w:space="0"/>
            </w:tcBorders>
          </w:tcPr>
          <w:p w14:paraId="4D0DCF5B">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5D8B179">
            <w:pPr>
              <w:widowControl/>
              <w:spacing w:line="360" w:lineRule="auto"/>
              <w:jc w:val="left"/>
              <w:rPr>
                <w:rFonts w:eastAsia="楷体_GB2312"/>
                <w:szCs w:val="21"/>
                <w:lang w:eastAsia="zh-TW"/>
              </w:rPr>
            </w:pPr>
          </w:p>
        </w:tc>
      </w:tr>
      <w:tr w14:paraId="444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D34262A">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64A8EF59">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3FF31E38">
            <w:pPr>
              <w:widowControl/>
              <w:spacing w:line="360" w:lineRule="auto"/>
              <w:jc w:val="left"/>
              <w:rPr>
                <w:rFonts w:eastAsia="楷体_GB2312"/>
                <w:szCs w:val="21"/>
                <w:lang w:eastAsia="zh-TW"/>
              </w:rPr>
            </w:pPr>
            <w:r>
              <w:rPr>
                <w:rFonts w:eastAsia="楷体_GB2312"/>
                <w:szCs w:val="21"/>
                <w:lang w:eastAsia="zh-TW"/>
              </w:rPr>
              <w:t>违约回收</w:t>
            </w:r>
          </w:p>
        </w:tc>
        <w:tc>
          <w:tcPr>
            <w:tcW w:w="2463" w:type="dxa"/>
            <w:tcBorders>
              <w:top w:val="single" w:color="auto" w:sz="4" w:space="0"/>
              <w:left w:val="single" w:color="auto" w:sz="4" w:space="0"/>
              <w:bottom w:val="single" w:color="auto" w:sz="4" w:space="0"/>
              <w:right w:val="single" w:color="auto" w:sz="4" w:space="0"/>
            </w:tcBorders>
          </w:tcPr>
          <w:p w14:paraId="6CDB31F8">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018D8F4">
            <w:pPr>
              <w:widowControl/>
              <w:spacing w:line="360" w:lineRule="auto"/>
              <w:jc w:val="left"/>
              <w:rPr>
                <w:rFonts w:eastAsia="楷体_GB2312"/>
                <w:szCs w:val="21"/>
                <w:lang w:eastAsia="zh-TW"/>
              </w:rPr>
            </w:pPr>
          </w:p>
        </w:tc>
      </w:tr>
      <w:tr w14:paraId="08A9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0560D92">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05361BF">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29D9AFB5">
            <w:pPr>
              <w:widowControl/>
              <w:spacing w:line="360" w:lineRule="auto"/>
              <w:jc w:val="left"/>
              <w:rPr>
                <w:rFonts w:eastAsia="楷体_GB2312"/>
                <w:szCs w:val="21"/>
              </w:rPr>
            </w:pPr>
            <w:r>
              <w:rPr>
                <w:rFonts w:eastAsia="楷体_GB2312"/>
                <w:szCs w:val="21"/>
                <w:lang w:eastAsia="zh-TW"/>
              </w:rPr>
              <w:t>资产赎回</w:t>
            </w:r>
            <w:r>
              <w:rPr>
                <w:rFonts w:eastAsia="楷体_GB2312"/>
                <w:szCs w:val="21"/>
              </w:rPr>
              <w:t>/收购</w:t>
            </w:r>
          </w:p>
        </w:tc>
        <w:tc>
          <w:tcPr>
            <w:tcW w:w="2463" w:type="dxa"/>
            <w:tcBorders>
              <w:top w:val="single" w:color="auto" w:sz="4" w:space="0"/>
              <w:left w:val="single" w:color="auto" w:sz="4" w:space="0"/>
              <w:bottom w:val="single" w:color="auto" w:sz="4" w:space="0"/>
              <w:right w:val="single" w:color="auto" w:sz="4" w:space="0"/>
            </w:tcBorders>
          </w:tcPr>
          <w:p w14:paraId="1F368BFF">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AA575EE">
            <w:pPr>
              <w:widowControl/>
              <w:spacing w:line="360" w:lineRule="auto"/>
              <w:jc w:val="left"/>
              <w:rPr>
                <w:rFonts w:eastAsia="楷体_GB2312"/>
                <w:szCs w:val="21"/>
                <w:lang w:eastAsia="zh-TW"/>
              </w:rPr>
            </w:pPr>
          </w:p>
        </w:tc>
      </w:tr>
      <w:tr w14:paraId="0D7C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6FA38F2">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786783D6">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3639A68C">
            <w:pPr>
              <w:widowControl/>
              <w:spacing w:line="360" w:lineRule="auto"/>
              <w:jc w:val="left"/>
              <w:rPr>
                <w:rFonts w:eastAsia="楷体_GB2312"/>
                <w:szCs w:val="21"/>
                <w:lang w:eastAsia="zh-TW"/>
              </w:rPr>
            </w:pPr>
            <w:r>
              <w:rPr>
                <w:rFonts w:eastAsia="楷体_GB2312"/>
                <w:szCs w:val="21"/>
                <w:lang w:eastAsia="zh-TW"/>
              </w:rPr>
              <w:t>清仓回购</w:t>
            </w:r>
          </w:p>
        </w:tc>
        <w:tc>
          <w:tcPr>
            <w:tcW w:w="2463" w:type="dxa"/>
            <w:tcBorders>
              <w:top w:val="single" w:color="auto" w:sz="4" w:space="0"/>
              <w:left w:val="single" w:color="auto" w:sz="4" w:space="0"/>
              <w:bottom w:val="single" w:color="auto" w:sz="4" w:space="0"/>
              <w:right w:val="single" w:color="auto" w:sz="4" w:space="0"/>
            </w:tcBorders>
          </w:tcPr>
          <w:p w14:paraId="5CB721CC">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898803F">
            <w:pPr>
              <w:widowControl/>
              <w:spacing w:line="360" w:lineRule="auto"/>
              <w:jc w:val="left"/>
              <w:rPr>
                <w:rFonts w:eastAsia="楷体_GB2312"/>
                <w:szCs w:val="21"/>
                <w:lang w:eastAsia="zh-TW"/>
              </w:rPr>
            </w:pPr>
          </w:p>
        </w:tc>
      </w:tr>
      <w:tr w14:paraId="23C5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0ED1FEBE">
            <w:pPr>
              <w:widowControl/>
              <w:jc w:val="left"/>
              <w:rPr>
                <w:rFonts w:eastAsia="楷体_GB2312"/>
                <w:b/>
                <w:bCs/>
                <w:szCs w:val="21"/>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29266F47">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287CFBC">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6F392A13">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F0FFF61">
            <w:pPr>
              <w:widowControl/>
              <w:spacing w:line="360" w:lineRule="auto"/>
              <w:jc w:val="left"/>
              <w:rPr>
                <w:rFonts w:eastAsia="楷体_GB2312"/>
                <w:szCs w:val="21"/>
                <w:lang w:eastAsia="zh-TW"/>
              </w:rPr>
            </w:pPr>
          </w:p>
        </w:tc>
      </w:tr>
      <w:tr w14:paraId="2E7B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BDF9879">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2BE939DE">
            <w:pPr>
              <w:widowControl/>
              <w:spacing w:line="360" w:lineRule="auto"/>
              <w:jc w:val="left"/>
              <w:rPr>
                <w:rFonts w:eastAsia="楷体_GB2312"/>
                <w:szCs w:val="21"/>
                <w:lang w:eastAsia="zh-TW"/>
              </w:rPr>
            </w:pPr>
            <w:r>
              <w:rPr>
                <w:rFonts w:eastAsia="楷体_GB2312"/>
                <w:szCs w:val="21"/>
                <w:lang w:eastAsia="zh-TW"/>
              </w:rPr>
              <w:t>其他收入</w:t>
            </w:r>
          </w:p>
        </w:tc>
        <w:tc>
          <w:tcPr>
            <w:tcW w:w="2463" w:type="dxa"/>
            <w:tcBorders>
              <w:top w:val="single" w:color="auto" w:sz="4" w:space="0"/>
              <w:left w:val="single" w:color="auto" w:sz="4" w:space="0"/>
              <w:bottom w:val="single" w:color="auto" w:sz="4" w:space="0"/>
              <w:right w:val="single" w:color="auto" w:sz="4" w:space="0"/>
            </w:tcBorders>
          </w:tcPr>
          <w:p w14:paraId="2D5DC04F">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00A75532">
            <w:pPr>
              <w:widowControl/>
              <w:spacing w:line="360" w:lineRule="auto"/>
              <w:jc w:val="left"/>
              <w:rPr>
                <w:rFonts w:eastAsia="楷体_GB2312"/>
                <w:szCs w:val="21"/>
                <w:lang w:eastAsia="zh-TW"/>
              </w:rPr>
            </w:pPr>
          </w:p>
        </w:tc>
      </w:tr>
      <w:tr w14:paraId="2C1E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65F2D122">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2F4DEFCA">
            <w:pPr>
              <w:widowControl/>
              <w:spacing w:line="360" w:lineRule="auto"/>
              <w:jc w:val="left"/>
              <w:rPr>
                <w:rFonts w:eastAsia="楷体_GB2312"/>
                <w:szCs w:val="21"/>
                <w:lang w:eastAsia="zh-TW"/>
              </w:rPr>
            </w:pPr>
            <w:r>
              <w:rPr>
                <w:rFonts w:eastAsia="楷体_GB2312"/>
                <w:szCs w:val="21"/>
                <w:lang w:eastAsia="zh-TW"/>
              </w:rPr>
              <w:t>合格投资</w:t>
            </w:r>
          </w:p>
        </w:tc>
        <w:tc>
          <w:tcPr>
            <w:tcW w:w="2463" w:type="dxa"/>
            <w:tcBorders>
              <w:top w:val="single" w:color="auto" w:sz="4" w:space="0"/>
              <w:left w:val="single" w:color="auto" w:sz="4" w:space="0"/>
              <w:bottom w:val="single" w:color="auto" w:sz="4" w:space="0"/>
              <w:right w:val="single" w:color="auto" w:sz="4" w:space="0"/>
            </w:tcBorders>
          </w:tcPr>
          <w:p w14:paraId="5BF4DFDD">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5C3D0610">
            <w:pPr>
              <w:widowControl/>
              <w:spacing w:line="360" w:lineRule="auto"/>
              <w:jc w:val="left"/>
              <w:rPr>
                <w:rFonts w:eastAsia="楷体_GB2312"/>
                <w:szCs w:val="21"/>
                <w:lang w:eastAsia="zh-TW"/>
              </w:rPr>
            </w:pPr>
          </w:p>
        </w:tc>
      </w:tr>
      <w:tr w14:paraId="6347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824BD0A">
            <w:pPr>
              <w:widowControl/>
              <w:jc w:val="left"/>
              <w:rPr>
                <w:rFonts w:eastAsia="楷体_GB2312"/>
                <w:b/>
                <w:bCs/>
                <w:szCs w:val="21"/>
              </w:rPr>
            </w:pPr>
          </w:p>
        </w:tc>
        <w:tc>
          <w:tcPr>
            <w:tcW w:w="2752" w:type="dxa"/>
            <w:gridSpan w:val="2"/>
            <w:tcBorders>
              <w:top w:val="single" w:color="auto" w:sz="4" w:space="0"/>
              <w:left w:val="single" w:color="auto" w:sz="4" w:space="0"/>
              <w:bottom w:val="single" w:color="auto" w:sz="4" w:space="0"/>
              <w:right w:val="single" w:color="auto" w:sz="4" w:space="0"/>
            </w:tcBorders>
          </w:tcPr>
          <w:p w14:paraId="2474E0D5">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32E207B3">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44E19F9">
            <w:pPr>
              <w:widowControl/>
              <w:spacing w:line="360" w:lineRule="auto"/>
              <w:jc w:val="left"/>
              <w:rPr>
                <w:rFonts w:eastAsia="楷体_GB2312"/>
                <w:szCs w:val="21"/>
                <w:lang w:eastAsia="zh-TW"/>
              </w:rPr>
            </w:pPr>
          </w:p>
        </w:tc>
      </w:tr>
      <w:tr w14:paraId="7729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extDirection w:val="tbRlV"/>
            <w:vAlign w:val="center"/>
          </w:tcPr>
          <w:p w14:paraId="3B6045CE">
            <w:pPr>
              <w:widowControl/>
              <w:spacing w:line="360" w:lineRule="auto"/>
              <w:ind w:left="113" w:right="113"/>
              <w:jc w:val="center"/>
              <w:rPr>
                <w:rFonts w:eastAsia="楷体_GB2312"/>
                <w:b/>
                <w:bCs/>
                <w:szCs w:val="21"/>
                <w:lang w:eastAsia="zh-TW"/>
              </w:rPr>
            </w:pPr>
            <w:r>
              <w:rPr>
                <w:rFonts w:eastAsia="楷体_GB2312"/>
                <w:b/>
                <w:bCs/>
                <w:szCs w:val="21"/>
                <w:lang w:eastAsia="zh-TW"/>
              </w:rPr>
              <w:t>本金账</w:t>
            </w:r>
          </w:p>
        </w:tc>
        <w:tc>
          <w:tcPr>
            <w:tcW w:w="1014" w:type="dxa"/>
            <w:vMerge w:val="restart"/>
            <w:tcBorders>
              <w:top w:val="single" w:color="auto" w:sz="4" w:space="0"/>
              <w:left w:val="single" w:color="auto" w:sz="4" w:space="0"/>
              <w:bottom w:val="single" w:color="auto" w:sz="4" w:space="0"/>
              <w:right w:val="single" w:color="auto" w:sz="4" w:space="0"/>
            </w:tcBorders>
            <w:vAlign w:val="center"/>
          </w:tcPr>
          <w:p w14:paraId="7762C207">
            <w:pPr>
              <w:widowControl/>
              <w:spacing w:line="360" w:lineRule="auto"/>
              <w:jc w:val="center"/>
              <w:rPr>
                <w:rFonts w:eastAsia="楷体_GB2312"/>
                <w:szCs w:val="21"/>
                <w:lang w:eastAsia="zh-TW"/>
              </w:rPr>
            </w:pPr>
            <w:r>
              <w:rPr>
                <w:rFonts w:eastAsia="楷体_GB2312"/>
                <w:szCs w:val="21"/>
                <w:lang w:eastAsia="zh-TW"/>
              </w:rPr>
              <w:t>本金</w:t>
            </w:r>
          </w:p>
        </w:tc>
        <w:tc>
          <w:tcPr>
            <w:tcW w:w="1738" w:type="dxa"/>
            <w:tcBorders>
              <w:top w:val="single" w:color="auto" w:sz="4" w:space="0"/>
              <w:left w:val="single" w:color="auto" w:sz="4" w:space="0"/>
              <w:bottom w:val="single" w:color="auto" w:sz="4" w:space="0"/>
              <w:right w:val="single" w:color="auto" w:sz="4" w:space="0"/>
            </w:tcBorders>
          </w:tcPr>
          <w:p w14:paraId="22BA90B6">
            <w:pPr>
              <w:widowControl/>
              <w:spacing w:line="360" w:lineRule="auto"/>
              <w:jc w:val="left"/>
              <w:rPr>
                <w:rFonts w:eastAsia="楷体_GB2312"/>
                <w:szCs w:val="21"/>
                <w:lang w:eastAsia="zh-TW"/>
              </w:rPr>
            </w:pPr>
            <w:r>
              <w:rPr>
                <w:rFonts w:eastAsia="楷体_GB2312"/>
                <w:szCs w:val="21"/>
                <w:lang w:eastAsia="zh-TW"/>
              </w:rPr>
              <w:t>正常回收</w:t>
            </w:r>
          </w:p>
        </w:tc>
        <w:tc>
          <w:tcPr>
            <w:tcW w:w="2463" w:type="dxa"/>
            <w:tcBorders>
              <w:top w:val="single" w:color="auto" w:sz="4" w:space="0"/>
              <w:left w:val="single" w:color="auto" w:sz="4" w:space="0"/>
              <w:bottom w:val="single" w:color="auto" w:sz="4" w:space="0"/>
              <w:right w:val="single" w:color="auto" w:sz="4" w:space="0"/>
            </w:tcBorders>
          </w:tcPr>
          <w:p w14:paraId="6A4E6DDB">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5DD95F4C">
            <w:pPr>
              <w:widowControl/>
              <w:spacing w:line="360" w:lineRule="auto"/>
              <w:jc w:val="left"/>
              <w:rPr>
                <w:rFonts w:eastAsia="楷体_GB2312"/>
                <w:szCs w:val="21"/>
                <w:lang w:eastAsia="zh-TW"/>
              </w:rPr>
            </w:pPr>
          </w:p>
        </w:tc>
      </w:tr>
      <w:tr w14:paraId="64D9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7C30DB6">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30F1BA63">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4883571">
            <w:pPr>
              <w:widowControl/>
              <w:spacing w:line="360" w:lineRule="auto"/>
              <w:jc w:val="left"/>
              <w:rPr>
                <w:rFonts w:eastAsia="楷体_GB2312"/>
                <w:szCs w:val="21"/>
                <w:lang w:eastAsia="zh-TW"/>
              </w:rPr>
            </w:pPr>
            <w:r>
              <w:rPr>
                <w:rFonts w:eastAsia="楷体_GB2312"/>
                <w:szCs w:val="21"/>
                <w:lang w:eastAsia="zh-TW"/>
              </w:rPr>
              <w:t>全部提前偿还</w:t>
            </w:r>
          </w:p>
        </w:tc>
        <w:tc>
          <w:tcPr>
            <w:tcW w:w="2463" w:type="dxa"/>
            <w:tcBorders>
              <w:top w:val="single" w:color="auto" w:sz="4" w:space="0"/>
              <w:left w:val="single" w:color="auto" w:sz="4" w:space="0"/>
              <w:bottom w:val="single" w:color="auto" w:sz="4" w:space="0"/>
              <w:right w:val="single" w:color="auto" w:sz="4" w:space="0"/>
            </w:tcBorders>
          </w:tcPr>
          <w:p w14:paraId="387702D9">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48B50DA8">
            <w:pPr>
              <w:widowControl/>
              <w:spacing w:line="360" w:lineRule="auto"/>
              <w:jc w:val="left"/>
              <w:rPr>
                <w:rFonts w:eastAsia="楷体_GB2312"/>
                <w:szCs w:val="21"/>
                <w:lang w:eastAsia="zh-TW"/>
              </w:rPr>
            </w:pPr>
          </w:p>
        </w:tc>
      </w:tr>
      <w:tr w14:paraId="7B67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12119FF">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3DEF0927">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163EFBE1">
            <w:pPr>
              <w:widowControl/>
              <w:spacing w:line="360" w:lineRule="auto"/>
              <w:jc w:val="left"/>
              <w:rPr>
                <w:rFonts w:eastAsia="楷体_GB2312"/>
                <w:szCs w:val="21"/>
                <w:lang w:eastAsia="zh-TW"/>
              </w:rPr>
            </w:pPr>
            <w:r>
              <w:rPr>
                <w:rFonts w:eastAsia="楷体_GB2312"/>
                <w:szCs w:val="21"/>
                <w:lang w:eastAsia="zh-TW"/>
              </w:rPr>
              <w:t>部分提前偿还</w:t>
            </w:r>
          </w:p>
        </w:tc>
        <w:tc>
          <w:tcPr>
            <w:tcW w:w="2463" w:type="dxa"/>
            <w:tcBorders>
              <w:top w:val="single" w:color="auto" w:sz="4" w:space="0"/>
              <w:left w:val="single" w:color="auto" w:sz="4" w:space="0"/>
              <w:bottom w:val="single" w:color="auto" w:sz="4" w:space="0"/>
              <w:right w:val="single" w:color="auto" w:sz="4" w:space="0"/>
            </w:tcBorders>
          </w:tcPr>
          <w:p w14:paraId="0951B0FF">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1DFFDA57">
            <w:pPr>
              <w:widowControl/>
              <w:spacing w:line="360" w:lineRule="auto"/>
              <w:jc w:val="left"/>
              <w:rPr>
                <w:rFonts w:eastAsia="楷体_GB2312"/>
                <w:szCs w:val="21"/>
                <w:lang w:eastAsia="zh-TW"/>
              </w:rPr>
            </w:pPr>
          </w:p>
        </w:tc>
      </w:tr>
      <w:tr w14:paraId="3577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F347450">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7A5F16C6">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2CF9917B">
            <w:pPr>
              <w:widowControl/>
              <w:spacing w:line="360" w:lineRule="auto"/>
              <w:jc w:val="left"/>
              <w:rPr>
                <w:rFonts w:eastAsia="楷体_GB2312"/>
                <w:szCs w:val="21"/>
                <w:lang w:eastAsia="zh-TW"/>
              </w:rPr>
            </w:pPr>
            <w:r>
              <w:rPr>
                <w:rFonts w:eastAsia="楷体_GB2312"/>
                <w:szCs w:val="21"/>
                <w:lang w:eastAsia="zh-TW"/>
              </w:rPr>
              <w:t>拖欠金额</w:t>
            </w:r>
          </w:p>
        </w:tc>
        <w:tc>
          <w:tcPr>
            <w:tcW w:w="2463" w:type="dxa"/>
            <w:tcBorders>
              <w:top w:val="single" w:color="auto" w:sz="4" w:space="0"/>
              <w:left w:val="single" w:color="auto" w:sz="4" w:space="0"/>
              <w:bottom w:val="single" w:color="auto" w:sz="4" w:space="0"/>
              <w:right w:val="single" w:color="auto" w:sz="4" w:space="0"/>
            </w:tcBorders>
          </w:tcPr>
          <w:p w14:paraId="7D4EF6B8">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595BE548">
            <w:pPr>
              <w:widowControl/>
              <w:spacing w:line="360" w:lineRule="auto"/>
              <w:jc w:val="left"/>
              <w:rPr>
                <w:rFonts w:eastAsia="楷体_GB2312"/>
                <w:szCs w:val="21"/>
                <w:lang w:eastAsia="zh-TW"/>
              </w:rPr>
            </w:pPr>
          </w:p>
        </w:tc>
      </w:tr>
      <w:tr w14:paraId="6D6A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52C57A34">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7CEDF4C7">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FD478F8">
            <w:pPr>
              <w:widowControl/>
              <w:spacing w:line="360" w:lineRule="auto"/>
              <w:jc w:val="left"/>
              <w:rPr>
                <w:rFonts w:eastAsia="楷体_GB2312"/>
                <w:szCs w:val="21"/>
                <w:lang w:eastAsia="zh-TW"/>
              </w:rPr>
            </w:pPr>
            <w:r>
              <w:rPr>
                <w:rFonts w:eastAsia="楷体_GB2312"/>
                <w:szCs w:val="21"/>
                <w:lang w:eastAsia="zh-TW"/>
              </w:rPr>
              <w:t>违约回收</w:t>
            </w:r>
          </w:p>
        </w:tc>
        <w:tc>
          <w:tcPr>
            <w:tcW w:w="2463" w:type="dxa"/>
            <w:tcBorders>
              <w:top w:val="single" w:color="auto" w:sz="4" w:space="0"/>
              <w:left w:val="single" w:color="auto" w:sz="4" w:space="0"/>
              <w:bottom w:val="single" w:color="auto" w:sz="4" w:space="0"/>
              <w:right w:val="single" w:color="auto" w:sz="4" w:space="0"/>
            </w:tcBorders>
          </w:tcPr>
          <w:p w14:paraId="2531938B">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9F5FFFA">
            <w:pPr>
              <w:widowControl/>
              <w:spacing w:line="360" w:lineRule="auto"/>
              <w:jc w:val="left"/>
              <w:rPr>
                <w:rFonts w:eastAsia="楷体_GB2312"/>
                <w:szCs w:val="21"/>
                <w:lang w:eastAsia="zh-TW"/>
              </w:rPr>
            </w:pPr>
          </w:p>
        </w:tc>
      </w:tr>
      <w:tr w14:paraId="7B49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A91E8A3">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6A966C6F">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27CAD982">
            <w:pPr>
              <w:widowControl/>
              <w:spacing w:line="360" w:lineRule="auto"/>
              <w:jc w:val="left"/>
              <w:rPr>
                <w:rFonts w:eastAsia="楷体_GB2312"/>
                <w:szCs w:val="21"/>
              </w:rPr>
            </w:pPr>
            <w:r>
              <w:rPr>
                <w:rFonts w:eastAsia="楷体_GB2312"/>
                <w:szCs w:val="21"/>
                <w:lang w:eastAsia="zh-TW"/>
              </w:rPr>
              <w:t>资产赎回</w:t>
            </w:r>
            <w:r>
              <w:rPr>
                <w:rFonts w:eastAsia="楷体_GB2312"/>
                <w:szCs w:val="21"/>
              </w:rPr>
              <w:t>/收购</w:t>
            </w:r>
          </w:p>
        </w:tc>
        <w:tc>
          <w:tcPr>
            <w:tcW w:w="2463" w:type="dxa"/>
            <w:tcBorders>
              <w:top w:val="single" w:color="auto" w:sz="4" w:space="0"/>
              <w:left w:val="single" w:color="auto" w:sz="4" w:space="0"/>
              <w:bottom w:val="single" w:color="auto" w:sz="4" w:space="0"/>
              <w:right w:val="single" w:color="auto" w:sz="4" w:space="0"/>
            </w:tcBorders>
          </w:tcPr>
          <w:p w14:paraId="2C071B62">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7B23933">
            <w:pPr>
              <w:widowControl/>
              <w:spacing w:line="360" w:lineRule="auto"/>
              <w:jc w:val="left"/>
              <w:rPr>
                <w:rFonts w:eastAsia="楷体_GB2312"/>
                <w:szCs w:val="21"/>
                <w:lang w:eastAsia="zh-TW"/>
              </w:rPr>
            </w:pPr>
          </w:p>
        </w:tc>
      </w:tr>
      <w:tr w14:paraId="31D3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3CC3EE31">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43959941">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5D252914">
            <w:pPr>
              <w:widowControl/>
              <w:spacing w:line="360" w:lineRule="auto"/>
              <w:jc w:val="left"/>
              <w:rPr>
                <w:rFonts w:eastAsia="楷体_GB2312"/>
                <w:szCs w:val="21"/>
                <w:lang w:eastAsia="zh-TW"/>
              </w:rPr>
            </w:pPr>
            <w:r>
              <w:rPr>
                <w:rFonts w:eastAsia="楷体_GB2312"/>
                <w:szCs w:val="21"/>
                <w:lang w:eastAsia="zh-TW"/>
              </w:rPr>
              <w:t>清仓回购</w:t>
            </w:r>
          </w:p>
        </w:tc>
        <w:tc>
          <w:tcPr>
            <w:tcW w:w="2463" w:type="dxa"/>
            <w:tcBorders>
              <w:top w:val="single" w:color="auto" w:sz="4" w:space="0"/>
              <w:left w:val="single" w:color="auto" w:sz="4" w:space="0"/>
              <w:bottom w:val="single" w:color="auto" w:sz="4" w:space="0"/>
              <w:right w:val="single" w:color="auto" w:sz="4" w:space="0"/>
            </w:tcBorders>
          </w:tcPr>
          <w:p w14:paraId="75A5D5A1">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76017ADE">
            <w:pPr>
              <w:widowControl/>
              <w:spacing w:line="360" w:lineRule="auto"/>
              <w:jc w:val="left"/>
              <w:rPr>
                <w:rFonts w:eastAsia="楷体_GB2312"/>
                <w:szCs w:val="21"/>
                <w:lang w:eastAsia="zh-TW"/>
              </w:rPr>
            </w:pPr>
          </w:p>
        </w:tc>
      </w:tr>
      <w:tr w14:paraId="4A69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1ECA69E0">
            <w:pPr>
              <w:widowControl/>
              <w:jc w:val="left"/>
              <w:rPr>
                <w:rFonts w:eastAsia="楷体_GB2312"/>
                <w:b/>
                <w:bCs/>
                <w:szCs w:val="21"/>
                <w:lang w:eastAsia="zh-TW"/>
              </w:rPr>
            </w:pPr>
          </w:p>
        </w:tc>
        <w:tc>
          <w:tcPr>
            <w:tcW w:w="2752" w:type="dxa"/>
            <w:vMerge w:val="continue"/>
            <w:tcBorders>
              <w:top w:val="single" w:color="auto" w:sz="4" w:space="0"/>
              <w:left w:val="single" w:color="auto" w:sz="4" w:space="0"/>
              <w:bottom w:val="single" w:color="auto" w:sz="4" w:space="0"/>
              <w:right w:val="single" w:color="auto" w:sz="4" w:space="0"/>
            </w:tcBorders>
            <w:vAlign w:val="center"/>
          </w:tcPr>
          <w:p w14:paraId="564C697A">
            <w:pPr>
              <w:widowControl/>
              <w:jc w:val="left"/>
              <w:rPr>
                <w:rFonts w:eastAsia="楷体_GB2312"/>
                <w:szCs w:val="21"/>
                <w:lang w:eastAsia="zh-TW"/>
              </w:rPr>
            </w:pPr>
          </w:p>
        </w:tc>
        <w:tc>
          <w:tcPr>
            <w:tcW w:w="1738" w:type="dxa"/>
            <w:tcBorders>
              <w:top w:val="single" w:color="auto" w:sz="4" w:space="0"/>
              <w:left w:val="single" w:color="auto" w:sz="4" w:space="0"/>
              <w:bottom w:val="single" w:color="auto" w:sz="4" w:space="0"/>
              <w:right w:val="single" w:color="auto" w:sz="4" w:space="0"/>
            </w:tcBorders>
          </w:tcPr>
          <w:p w14:paraId="4C774283">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163F8996">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1E8E0BD9">
            <w:pPr>
              <w:widowControl/>
              <w:spacing w:line="360" w:lineRule="auto"/>
              <w:jc w:val="left"/>
              <w:rPr>
                <w:rFonts w:eastAsia="楷体_GB2312"/>
                <w:szCs w:val="21"/>
                <w:lang w:eastAsia="zh-TW"/>
              </w:rPr>
            </w:pPr>
          </w:p>
        </w:tc>
      </w:tr>
      <w:tr w14:paraId="76DD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202BD4B">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7E24BDC2">
            <w:pPr>
              <w:widowControl/>
              <w:spacing w:line="360" w:lineRule="auto"/>
              <w:jc w:val="left"/>
              <w:rPr>
                <w:rFonts w:eastAsia="楷体_GB2312"/>
                <w:szCs w:val="21"/>
                <w:lang w:eastAsia="zh-TW"/>
              </w:rPr>
            </w:pPr>
            <w:r>
              <w:rPr>
                <w:rFonts w:eastAsia="楷体_GB2312"/>
                <w:szCs w:val="21"/>
                <w:lang w:eastAsia="zh-TW"/>
              </w:rPr>
              <w:t>其他收入</w:t>
            </w:r>
          </w:p>
        </w:tc>
        <w:tc>
          <w:tcPr>
            <w:tcW w:w="2463" w:type="dxa"/>
            <w:tcBorders>
              <w:top w:val="single" w:color="auto" w:sz="4" w:space="0"/>
              <w:left w:val="single" w:color="auto" w:sz="4" w:space="0"/>
              <w:bottom w:val="single" w:color="auto" w:sz="4" w:space="0"/>
              <w:right w:val="single" w:color="auto" w:sz="4" w:space="0"/>
            </w:tcBorders>
          </w:tcPr>
          <w:p w14:paraId="6290C1AC">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662C99C">
            <w:pPr>
              <w:widowControl/>
              <w:spacing w:line="360" w:lineRule="auto"/>
              <w:jc w:val="left"/>
              <w:rPr>
                <w:rFonts w:eastAsia="楷体_GB2312"/>
                <w:szCs w:val="21"/>
                <w:lang w:eastAsia="zh-TW"/>
              </w:rPr>
            </w:pPr>
          </w:p>
        </w:tc>
      </w:tr>
      <w:tr w14:paraId="4201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242A501D">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0650278E">
            <w:pPr>
              <w:widowControl/>
              <w:spacing w:line="360" w:lineRule="auto"/>
              <w:jc w:val="left"/>
              <w:rPr>
                <w:rFonts w:eastAsia="楷体_GB2312"/>
                <w:szCs w:val="21"/>
                <w:lang w:eastAsia="zh-TW"/>
              </w:rPr>
            </w:pPr>
            <w:r>
              <w:rPr>
                <w:rFonts w:eastAsia="楷体_GB2312"/>
                <w:szCs w:val="21"/>
                <w:lang w:eastAsia="zh-TW"/>
              </w:rPr>
              <w:t>上期转存</w:t>
            </w:r>
          </w:p>
        </w:tc>
        <w:tc>
          <w:tcPr>
            <w:tcW w:w="2463" w:type="dxa"/>
            <w:tcBorders>
              <w:top w:val="single" w:color="auto" w:sz="4" w:space="0"/>
              <w:left w:val="single" w:color="auto" w:sz="4" w:space="0"/>
              <w:bottom w:val="single" w:color="auto" w:sz="4" w:space="0"/>
              <w:right w:val="single" w:color="auto" w:sz="4" w:space="0"/>
            </w:tcBorders>
          </w:tcPr>
          <w:p w14:paraId="4C0A1CD8">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B017564">
            <w:pPr>
              <w:widowControl/>
              <w:spacing w:line="360" w:lineRule="auto"/>
              <w:jc w:val="left"/>
              <w:rPr>
                <w:rFonts w:eastAsia="楷体_GB2312"/>
                <w:szCs w:val="21"/>
                <w:lang w:eastAsia="zh-TW"/>
              </w:rPr>
            </w:pPr>
          </w:p>
        </w:tc>
      </w:tr>
      <w:tr w14:paraId="3FFC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9A1F0F9">
            <w:pPr>
              <w:widowControl/>
              <w:jc w:val="left"/>
              <w:rPr>
                <w:rFonts w:eastAsia="楷体_GB2312"/>
                <w:b/>
                <w:bCs/>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64A6575F">
            <w:pPr>
              <w:widowControl/>
              <w:spacing w:line="360" w:lineRule="auto"/>
              <w:jc w:val="left"/>
              <w:rPr>
                <w:rFonts w:eastAsia="楷体_GB2312"/>
                <w:szCs w:val="21"/>
                <w:lang w:eastAsia="zh-TW"/>
              </w:rPr>
            </w:pPr>
            <w:r>
              <w:rPr>
                <w:rFonts w:eastAsia="楷体_GB2312"/>
                <w:szCs w:val="21"/>
                <w:lang w:eastAsia="zh-TW"/>
              </w:rPr>
              <w:t>合计</w:t>
            </w:r>
          </w:p>
        </w:tc>
        <w:tc>
          <w:tcPr>
            <w:tcW w:w="2463" w:type="dxa"/>
            <w:tcBorders>
              <w:top w:val="single" w:color="auto" w:sz="4" w:space="0"/>
              <w:left w:val="single" w:color="auto" w:sz="4" w:space="0"/>
              <w:bottom w:val="single" w:color="auto" w:sz="4" w:space="0"/>
              <w:right w:val="single" w:color="auto" w:sz="4" w:space="0"/>
            </w:tcBorders>
          </w:tcPr>
          <w:p w14:paraId="5C72CC53">
            <w:pPr>
              <w:widowControl/>
              <w:spacing w:line="360" w:lineRule="auto"/>
              <w:jc w:val="right"/>
              <w:rPr>
                <w:rFonts w:eastAsia="楷体_GB2312"/>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3B156CCF">
            <w:pPr>
              <w:widowControl/>
              <w:spacing w:line="360" w:lineRule="auto"/>
              <w:jc w:val="left"/>
              <w:rPr>
                <w:rFonts w:eastAsia="楷体_GB2312"/>
                <w:szCs w:val="21"/>
                <w:lang w:eastAsia="zh-TW"/>
              </w:rPr>
            </w:pPr>
          </w:p>
        </w:tc>
      </w:tr>
      <w:tr w14:paraId="791E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tcPr>
          <w:p w14:paraId="4777CB5B">
            <w:pPr>
              <w:widowControl/>
              <w:spacing w:line="360" w:lineRule="auto"/>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59C12C03">
            <w:pPr>
              <w:widowControl/>
              <w:spacing w:line="360" w:lineRule="auto"/>
              <w:jc w:val="left"/>
              <w:rPr>
                <w:rFonts w:eastAsia="楷体_GB2312"/>
                <w:szCs w:val="21"/>
                <w:lang w:eastAsia="zh-TW"/>
              </w:rPr>
            </w:pPr>
            <w:r>
              <w:rPr>
                <w:rFonts w:eastAsia="楷体_GB2312"/>
                <w:szCs w:val="21"/>
                <w:lang w:eastAsia="zh-TW"/>
              </w:rPr>
              <w:t>科目</w:t>
            </w:r>
          </w:p>
        </w:tc>
        <w:tc>
          <w:tcPr>
            <w:tcW w:w="2463" w:type="dxa"/>
            <w:tcBorders>
              <w:top w:val="single" w:color="auto" w:sz="4" w:space="0"/>
              <w:left w:val="single" w:color="auto" w:sz="4" w:space="0"/>
              <w:bottom w:val="single" w:color="auto" w:sz="4" w:space="0"/>
              <w:right w:val="single" w:color="auto" w:sz="4" w:space="0"/>
            </w:tcBorders>
          </w:tcPr>
          <w:p w14:paraId="62C253A4">
            <w:pPr>
              <w:widowControl/>
              <w:spacing w:line="360" w:lineRule="auto"/>
              <w:jc w:val="center"/>
              <w:rPr>
                <w:rFonts w:eastAsia="楷体_GB2312"/>
                <w:szCs w:val="21"/>
                <w:lang w:eastAsia="zh-TW"/>
              </w:rPr>
            </w:pPr>
            <w:r>
              <w:rPr>
                <w:rFonts w:eastAsia="楷体_GB2312"/>
                <w:b/>
                <w:bCs/>
                <w:szCs w:val="21"/>
                <w:lang w:eastAsia="zh-TW"/>
              </w:rPr>
              <w:t>上一报告期</w:t>
            </w:r>
          </w:p>
        </w:tc>
        <w:tc>
          <w:tcPr>
            <w:tcW w:w="2608" w:type="dxa"/>
            <w:tcBorders>
              <w:top w:val="single" w:color="auto" w:sz="4" w:space="0"/>
              <w:left w:val="single" w:color="auto" w:sz="4" w:space="0"/>
              <w:bottom w:val="single" w:color="auto" w:sz="4" w:space="0"/>
              <w:right w:val="single" w:color="auto" w:sz="4" w:space="0"/>
            </w:tcBorders>
          </w:tcPr>
          <w:p w14:paraId="540FB1A3">
            <w:pPr>
              <w:widowControl/>
              <w:spacing w:line="360" w:lineRule="auto"/>
              <w:jc w:val="center"/>
              <w:rPr>
                <w:rFonts w:eastAsia="楷体_GB2312"/>
                <w:szCs w:val="21"/>
                <w:lang w:eastAsia="zh-TW"/>
              </w:rPr>
            </w:pPr>
            <w:r>
              <w:rPr>
                <w:rFonts w:eastAsia="楷体_GB2312"/>
                <w:b/>
                <w:bCs/>
                <w:szCs w:val="21"/>
                <w:lang w:eastAsia="zh-TW"/>
              </w:rPr>
              <w:t>本报告期</w:t>
            </w:r>
          </w:p>
        </w:tc>
      </w:tr>
      <w:tr w14:paraId="6E6F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 w:type="dxa"/>
            <w:vMerge w:val="restart"/>
            <w:tcBorders>
              <w:top w:val="single" w:color="auto" w:sz="4" w:space="0"/>
              <w:left w:val="single" w:color="auto" w:sz="4" w:space="0"/>
              <w:bottom w:val="single" w:color="auto" w:sz="4" w:space="0"/>
              <w:right w:val="single" w:color="auto" w:sz="4" w:space="0"/>
            </w:tcBorders>
          </w:tcPr>
          <w:p w14:paraId="28BD653F">
            <w:pPr>
              <w:widowControl/>
              <w:spacing w:line="360" w:lineRule="auto"/>
              <w:jc w:val="left"/>
              <w:rPr>
                <w:rFonts w:eastAsia="楷体_GB2312"/>
                <w:szCs w:val="21"/>
                <w:lang w:eastAsia="zh-TW"/>
              </w:rPr>
            </w:pPr>
            <w:r>
              <w:rPr>
                <w:rFonts w:eastAsia="楷体_GB2312"/>
                <w:szCs w:val="21"/>
                <w:lang w:eastAsia="zh-TW"/>
              </w:rPr>
              <w:t>税费支出</w:t>
            </w:r>
          </w:p>
        </w:tc>
        <w:tc>
          <w:tcPr>
            <w:tcW w:w="2752" w:type="dxa"/>
            <w:gridSpan w:val="2"/>
            <w:tcBorders>
              <w:top w:val="single" w:color="auto" w:sz="4" w:space="0"/>
              <w:left w:val="single" w:color="auto" w:sz="4" w:space="0"/>
              <w:bottom w:val="single" w:color="auto" w:sz="4" w:space="0"/>
              <w:right w:val="single" w:color="auto" w:sz="4" w:space="0"/>
            </w:tcBorders>
          </w:tcPr>
          <w:p w14:paraId="04E1E8D9">
            <w:pPr>
              <w:widowControl/>
              <w:spacing w:line="360" w:lineRule="auto"/>
              <w:jc w:val="left"/>
              <w:rPr>
                <w:rFonts w:eastAsia="楷体_GB2312"/>
                <w:szCs w:val="21"/>
                <w:lang w:eastAsia="zh-TW"/>
              </w:rPr>
            </w:pPr>
            <w:r>
              <w:rPr>
                <w:rFonts w:eastAsia="楷体_GB2312"/>
                <w:szCs w:val="21"/>
                <w:lang w:eastAsia="zh-TW"/>
              </w:rPr>
              <w:t>税收</w:t>
            </w:r>
          </w:p>
        </w:tc>
        <w:tc>
          <w:tcPr>
            <w:tcW w:w="2463" w:type="dxa"/>
            <w:tcBorders>
              <w:top w:val="single" w:color="auto" w:sz="4" w:space="0"/>
              <w:left w:val="single" w:color="auto" w:sz="4" w:space="0"/>
              <w:bottom w:val="single" w:color="auto" w:sz="4" w:space="0"/>
              <w:right w:val="single" w:color="auto" w:sz="4" w:space="0"/>
            </w:tcBorders>
          </w:tcPr>
          <w:p w14:paraId="69AE80D4">
            <w:pPr>
              <w:widowControl/>
              <w:spacing w:line="360" w:lineRule="auto"/>
              <w:jc w:val="center"/>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66914777">
            <w:pPr>
              <w:widowControl/>
              <w:spacing w:line="360" w:lineRule="auto"/>
              <w:jc w:val="center"/>
              <w:rPr>
                <w:rFonts w:eastAsia="楷体_GB2312"/>
                <w:b/>
                <w:bCs/>
                <w:szCs w:val="21"/>
                <w:lang w:eastAsia="zh-TW"/>
              </w:rPr>
            </w:pPr>
          </w:p>
        </w:tc>
      </w:tr>
      <w:tr w14:paraId="3E13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4706A690">
            <w:pPr>
              <w:widowControl/>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6530BBDA">
            <w:pPr>
              <w:widowControl/>
              <w:spacing w:line="360" w:lineRule="auto"/>
              <w:jc w:val="left"/>
              <w:rPr>
                <w:rFonts w:eastAsia="楷体_GB2312"/>
                <w:szCs w:val="21"/>
                <w:lang w:eastAsia="zh-TW"/>
              </w:rPr>
            </w:pPr>
            <w:r>
              <w:rPr>
                <w:rFonts w:eastAsia="楷体_GB2312"/>
                <w:szCs w:val="21"/>
                <w:lang w:eastAsia="zh-TW"/>
              </w:rPr>
              <w:t>服务总费用</w:t>
            </w:r>
          </w:p>
        </w:tc>
        <w:tc>
          <w:tcPr>
            <w:tcW w:w="2463" w:type="dxa"/>
            <w:tcBorders>
              <w:top w:val="single" w:color="auto" w:sz="4" w:space="0"/>
              <w:left w:val="single" w:color="auto" w:sz="4" w:space="0"/>
              <w:bottom w:val="single" w:color="auto" w:sz="4" w:space="0"/>
              <w:right w:val="single" w:color="auto" w:sz="4" w:space="0"/>
            </w:tcBorders>
          </w:tcPr>
          <w:p w14:paraId="19A3765C">
            <w:pPr>
              <w:widowControl/>
              <w:spacing w:line="360" w:lineRule="auto"/>
              <w:jc w:val="right"/>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2F006AEF">
            <w:pPr>
              <w:widowControl/>
              <w:spacing w:line="360" w:lineRule="auto"/>
              <w:jc w:val="left"/>
              <w:rPr>
                <w:rFonts w:eastAsia="楷体_GB2312"/>
                <w:b/>
                <w:bCs/>
                <w:szCs w:val="21"/>
                <w:lang w:eastAsia="zh-TW"/>
              </w:rPr>
            </w:pPr>
          </w:p>
        </w:tc>
      </w:tr>
      <w:tr w14:paraId="4E1D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92" w:type="dxa"/>
            <w:vMerge w:val="continue"/>
            <w:tcBorders>
              <w:top w:val="single" w:color="auto" w:sz="4" w:space="0"/>
              <w:left w:val="single" w:color="auto" w:sz="4" w:space="0"/>
              <w:bottom w:val="single" w:color="auto" w:sz="4" w:space="0"/>
              <w:right w:val="single" w:color="auto" w:sz="4" w:space="0"/>
            </w:tcBorders>
            <w:vAlign w:val="center"/>
          </w:tcPr>
          <w:p w14:paraId="7EAE3E0F">
            <w:pPr>
              <w:widowControl/>
              <w:jc w:val="left"/>
              <w:rPr>
                <w:rFonts w:eastAsia="楷体_GB2312"/>
                <w:szCs w:val="21"/>
                <w:lang w:eastAsia="zh-TW"/>
              </w:rPr>
            </w:pPr>
          </w:p>
        </w:tc>
        <w:tc>
          <w:tcPr>
            <w:tcW w:w="2752" w:type="dxa"/>
            <w:gridSpan w:val="2"/>
            <w:tcBorders>
              <w:top w:val="single" w:color="auto" w:sz="4" w:space="0"/>
              <w:left w:val="single" w:color="auto" w:sz="4" w:space="0"/>
              <w:bottom w:val="single" w:color="auto" w:sz="4" w:space="0"/>
              <w:right w:val="single" w:color="auto" w:sz="4" w:space="0"/>
            </w:tcBorders>
          </w:tcPr>
          <w:p w14:paraId="7D8FBD7B">
            <w:pPr>
              <w:widowControl/>
              <w:spacing w:line="360" w:lineRule="auto"/>
              <w:jc w:val="left"/>
              <w:rPr>
                <w:rFonts w:eastAsia="楷体_GB2312"/>
                <w:szCs w:val="21"/>
                <w:lang w:eastAsia="zh-TW"/>
              </w:rPr>
            </w:pPr>
            <w:r>
              <w:rPr>
                <w:rFonts w:eastAsia="楷体_GB2312"/>
                <w:szCs w:val="21"/>
                <w:lang w:eastAsia="zh-TW"/>
              </w:rPr>
              <w:t>费用支出</w:t>
            </w:r>
          </w:p>
        </w:tc>
        <w:tc>
          <w:tcPr>
            <w:tcW w:w="2463" w:type="dxa"/>
            <w:tcBorders>
              <w:top w:val="single" w:color="auto" w:sz="4" w:space="0"/>
              <w:left w:val="single" w:color="auto" w:sz="4" w:space="0"/>
              <w:bottom w:val="single" w:color="auto" w:sz="4" w:space="0"/>
              <w:right w:val="single" w:color="auto" w:sz="4" w:space="0"/>
            </w:tcBorders>
          </w:tcPr>
          <w:p w14:paraId="0E651797">
            <w:pPr>
              <w:widowControl/>
              <w:spacing w:line="360" w:lineRule="auto"/>
              <w:jc w:val="right"/>
              <w:rPr>
                <w:rFonts w:eastAsia="楷体_GB2312"/>
                <w:b/>
                <w:bCs/>
                <w:szCs w:val="21"/>
                <w:lang w:eastAsia="zh-TW"/>
              </w:rPr>
            </w:pPr>
          </w:p>
        </w:tc>
        <w:tc>
          <w:tcPr>
            <w:tcW w:w="2608" w:type="dxa"/>
            <w:tcBorders>
              <w:top w:val="single" w:color="auto" w:sz="4" w:space="0"/>
              <w:left w:val="single" w:color="auto" w:sz="4" w:space="0"/>
              <w:bottom w:val="single" w:color="auto" w:sz="4" w:space="0"/>
              <w:right w:val="single" w:color="auto" w:sz="4" w:space="0"/>
            </w:tcBorders>
          </w:tcPr>
          <w:p w14:paraId="5746B1BA">
            <w:pPr>
              <w:widowControl/>
              <w:spacing w:line="360" w:lineRule="auto"/>
              <w:jc w:val="left"/>
              <w:rPr>
                <w:rFonts w:eastAsia="楷体_GB2312"/>
                <w:b/>
                <w:bCs/>
                <w:szCs w:val="21"/>
                <w:lang w:eastAsia="zh-TW"/>
              </w:rPr>
            </w:pPr>
          </w:p>
        </w:tc>
      </w:tr>
      <w:tr w14:paraId="55F0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restart"/>
            <w:tcBorders>
              <w:top w:val="single" w:color="auto" w:sz="4" w:space="0"/>
              <w:left w:val="single" w:color="auto" w:sz="4" w:space="0"/>
              <w:bottom w:val="single" w:color="auto" w:sz="4" w:space="0"/>
              <w:right w:val="single" w:color="auto" w:sz="4" w:space="0"/>
            </w:tcBorders>
          </w:tcPr>
          <w:p w14:paraId="4DFE341D">
            <w:pPr>
              <w:widowControl/>
              <w:spacing w:line="360" w:lineRule="auto"/>
              <w:jc w:val="left"/>
              <w:rPr>
                <w:rFonts w:eastAsia="楷体_GB2312"/>
                <w:szCs w:val="21"/>
                <w:lang w:eastAsia="zh-TW"/>
              </w:rPr>
            </w:pPr>
            <w:r>
              <w:rPr>
                <w:rFonts w:eastAsia="楷体_GB2312"/>
                <w:szCs w:val="21"/>
                <w:lang w:eastAsia="zh-TW"/>
              </w:rPr>
              <w:t>证券兑付</w:t>
            </w:r>
          </w:p>
        </w:tc>
        <w:tc>
          <w:tcPr>
            <w:tcW w:w="2750" w:type="dxa"/>
            <w:gridSpan w:val="2"/>
            <w:tcBorders>
              <w:top w:val="single" w:color="auto" w:sz="4" w:space="0"/>
              <w:left w:val="single" w:color="auto" w:sz="4" w:space="0"/>
              <w:bottom w:val="single" w:color="auto" w:sz="4" w:space="0"/>
              <w:right w:val="single" w:color="auto" w:sz="4" w:space="0"/>
            </w:tcBorders>
          </w:tcPr>
          <w:p w14:paraId="2C2216C0">
            <w:pPr>
              <w:widowControl/>
              <w:spacing w:line="360" w:lineRule="auto"/>
              <w:jc w:val="left"/>
              <w:rPr>
                <w:rFonts w:eastAsia="楷体_GB2312"/>
                <w:szCs w:val="21"/>
                <w:lang w:eastAsia="zh-TW"/>
              </w:rPr>
            </w:pPr>
            <w:r>
              <w:rPr>
                <w:rFonts w:eastAsia="楷体_GB2312"/>
                <w:szCs w:val="21"/>
                <w:lang w:eastAsia="zh-TW"/>
              </w:rPr>
              <w:t>证券利息总支出</w:t>
            </w:r>
          </w:p>
        </w:tc>
        <w:tc>
          <w:tcPr>
            <w:tcW w:w="2461" w:type="dxa"/>
            <w:tcBorders>
              <w:top w:val="single" w:color="auto" w:sz="4" w:space="0"/>
              <w:left w:val="single" w:color="auto" w:sz="4" w:space="0"/>
              <w:bottom w:val="single" w:color="auto" w:sz="4" w:space="0"/>
              <w:right w:val="single" w:color="auto" w:sz="4" w:space="0"/>
            </w:tcBorders>
          </w:tcPr>
          <w:p w14:paraId="32CF91E7">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601D0FB3">
            <w:pPr>
              <w:widowControl/>
              <w:spacing w:line="360" w:lineRule="auto"/>
              <w:jc w:val="left"/>
              <w:rPr>
                <w:rFonts w:eastAsia="楷体_GB2312"/>
                <w:b/>
                <w:bCs/>
                <w:szCs w:val="21"/>
                <w:lang w:eastAsia="zh-TW"/>
              </w:rPr>
            </w:pPr>
          </w:p>
        </w:tc>
      </w:tr>
      <w:tr w14:paraId="41D2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continue"/>
            <w:tcBorders>
              <w:top w:val="single" w:color="auto" w:sz="4" w:space="0"/>
              <w:left w:val="single" w:color="auto" w:sz="4" w:space="0"/>
              <w:bottom w:val="single" w:color="auto" w:sz="4" w:space="0"/>
              <w:right w:val="single" w:color="auto" w:sz="4" w:space="0"/>
            </w:tcBorders>
            <w:vAlign w:val="center"/>
          </w:tcPr>
          <w:p w14:paraId="7C4D67EA">
            <w:pPr>
              <w:widowControl/>
              <w:jc w:val="left"/>
              <w:rPr>
                <w:rFonts w:eastAsia="楷体_GB2312"/>
                <w:szCs w:val="21"/>
                <w:lang w:eastAsia="zh-TW"/>
              </w:rPr>
            </w:pPr>
          </w:p>
        </w:tc>
        <w:tc>
          <w:tcPr>
            <w:tcW w:w="2750" w:type="dxa"/>
            <w:gridSpan w:val="2"/>
            <w:tcBorders>
              <w:top w:val="single" w:color="auto" w:sz="4" w:space="0"/>
              <w:left w:val="single" w:color="auto" w:sz="4" w:space="0"/>
              <w:bottom w:val="single" w:color="auto" w:sz="4" w:space="0"/>
              <w:right w:val="single" w:color="auto" w:sz="4" w:space="0"/>
            </w:tcBorders>
          </w:tcPr>
          <w:p w14:paraId="40987A6A">
            <w:pPr>
              <w:widowControl/>
              <w:spacing w:line="360" w:lineRule="auto"/>
              <w:jc w:val="left"/>
              <w:rPr>
                <w:rFonts w:eastAsia="楷体_GB2312"/>
                <w:szCs w:val="21"/>
                <w:lang w:eastAsia="zh-TW"/>
              </w:rPr>
            </w:pPr>
            <w:r>
              <w:rPr>
                <w:rFonts w:eastAsia="楷体_GB2312"/>
                <w:szCs w:val="21"/>
                <w:lang w:eastAsia="zh-TW"/>
              </w:rPr>
              <w:t>证券本金总支出</w:t>
            </w:r>
          </w:p>
        </w:tc>
        <w:tc>
          <w:tcPr>
            <w:tcW w:w="2461" w:type="dxa"/>
            <w:tcBorders>
              <w:top w:val="single" w:color="auto" w:sz="4" w:space="0"/>
              <w:left w:val="single" w:color="auto" w:sz="4" w:space="0"/>
              <w:bottom w:val="single" w:color="auto" w:sz="4" w:space="0"/>
              <w:right w:val="single" w:color="auto" w:sz="4" w:space="0"/>
            </w:tcBorders>
          </w:tcPr>
          <w:p w14:paraId="349CF878">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04F4E3C5">
            <w:pPr>
              <w:widowControl/>
              <w:spacing w:line="360" w:lineRule="auto"/>
              <w:jc w:val="left"/>
              <w:rPr>
                <w:rFonts w:eastAsia="楷体_GB2312"/>
                <w:b/>
                <w:bCs/>
                <w:szCs w:val="21"/>
                <w:lang w:eastAsia="zh-TW"/>
              </w:rPr>
            </w:pPr>
          </w:p>
        </w:tc>
      </w:tr>
      <w:tr w14:paraId="71DE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8" w:type="dxa"/>
            <w:vMerge w:val="continue"/>
            <w:tcBorders>
              <w:top w:val="single" w:color="auto" w:sz="4" w:space="0"/>
              <w:left w:val="single" w:color="auto" w:sz="4" w:space="0"/>
              <w:bottom w:val="single" w:color="auto" w:sz="4" w:space="0"/>
              <w:right w:val="single" w:color="auto" w:sz="4" w:space="0"/>
            </w:tcBorders>
            <w:vAlign w:val="center"/>
          </w:tcPr>
          <w:p w14:paraId="4CC39021">
            <w:pPr>
              <w:widowControl/>
              <w:jc w:val="left"/>
              <w:rPr>
                <w:rFonts w:eastAsia="楷体_GB2312"/>
                <w:szCs w:val="21"/>
                <w:lang w:eastAsia="zh-TW"/>
              </w:rPr>
            </w:pPr>
          </w:p>
        </w:tc>
        <w:tc>
          <w:tcPr>
            <w:tcW w:w="2750" w:type="dxa"/>
            <w:gridSpan w:val="2"/>
            <w:tcBorders>
              <w:top w:val="single" w:color="auto" w:sz="4" w:space="0"/>
              <w:left w:val="single" w:color="auto" w:sz="4" w:space="0"/>
              <w:bottom w:val="single" w:color="auto" w:sz="4" w:space="0"/>
              <w:right w:val="single" w:color="auto" w:sz="4" w:space="0"/>
            </w:tcBorders>
          </w:tcPr>
          <w:p w14:paraId="057D2C9D">
            <w:pPr>
              <w:widowControl/>
              <w:spacing w:line="360" w:lineRule="auto"/>
              <w:jc w:val="left"/>
              <w:rPr>
                <w:rFonts w:eastAsia="楷体_GB2312"/>
                <w:szCs w:val="21"/>
                <w:lang w:eastAsia="zh-TW"/>
              </w:rPr>
            </w:pPr>
            <w:r>
              <w:rPr>
                <w:rFonts w:eastAsia="楷体_GB2312"/>
                <w:szCs w:val="21"/>
              </w:rPr>
              <w:t>次级</w:t>
            </w:r>
            <w:r>
              <w:rPr>
                <w:rFonts w:eastAsia="楷体_GB2312"/>
                <w:szCs w:val="21"/>
                <w:lang w:eastAsia="zh-TW"/>
              </w:rPr>
              <w:t>超额收益</w:t>
            </w:r>
          </w:p>
        </w:tc>
        <w:tc>
          <w:tcPr>
            <w:tcW w:w="2461" w:type="dxa"/>
            <w:tcBorders>
              <w:top w:val="single" w:color="auto" w:sz="4" w:space="0"/>
              <w:left w:val="single" w:color="auto" w:sz="4" w:space="0"/>
              <w:bottom w:val="single" w:color="auto" w:sz="4" w:space="0"/>
              <w:right w:val="single" w:color="auto" w:sz="4" w:space="0"/>
            </w:tcBorders>
          </w:tcPr>
          <w:p w14:paraId="2E2548B8">
            <w:pPr>
              <w:widowControl/>
              <w:spacing w:line="360" w:lineRule="auto"/>
              <w:jc w:val="right"/>
              <w:rPr>
                <w:rFonts w:eastAsia="楷体_GB2312"/>
                <w:b/>
                <w:bCs/>
                <w:szCs w:val="21"/>
                <w:lang w:eastAsia="zh-TW"/>
              </w:rPr>
            </w:pPr>
          </w:p>
        </w:tc>
        <w:tc>
          <w:tcPr>
            <w:tcW w:w="2606" w:type="dxa"/>
            <w:tcBorders>
              <w:top w:val="single" w:color="auto" w:sz="4" w:space="0"/>
              <w:left w:val="single" w:color="auto" w:sz="4" w:space="0"/>
              <w:bottom w:val="single" w:color="auto" w:sz="4" w:space="0"/>
              <w:right w:val="single" w:color="auto" w:sz="4" w:space="0"/>
            </w:tcBorders>
          </w:tcPr>
          <w:p w14:paraId="676391D5">
            <w:pPr>
              <w:widowControl/>
              <w:spacing w:line="360" w:lineRule="auto"/>
              <w:jc w:val="left"/>
              <w:rPr>
                <w:rFonts w:eastAsia="楷体_GB2312"/>
                <w:b/>
                <w:bCs/>
                <w:szCs w:val="21"/>
                <w:lang w:eastAsia="zh-TW"/>
              </w:rPr>
            </w:pPr>
          </w:p>
        </w:tc>
      </w:tr>
    </w:tbl>
    <w:p w14:paraId="02E6C56F">
      <w:pPr>
        <w:widowControl/>
        <w:spacing w:line="360" w:lineRule="auto"/>
        <w:jc w:val="left"/>
        <w:rPr>
          <w:rFonts w:eastAsia="楷体_GB2312"/>
          <w:sz w:val="24"/>
        </w:rPr>
      </w:pPr>
    </w:p>
    <w:p w14:paraId="6A30F363">
      <w:pPr>
        <w:widowControl/>
        <w:spacing w:line="360" w:lineRule="auto"/>
        <w:jc w:val="left"/>
        <w:rPr>
          <w:rFonts w:eastAsia="楷体_GB2312"/>
          <w:sz w:val="18"/>
          <w:szCs w:val="18"/>
        </w:rPr>
      </w:pPr>
      <w:r>
        <w:rPr>
          <w:rFonts w:eastAsia="楷体_GB2312"/>
          <w:sz w:val="18"/>
          <w:szCs w:val="18"/>
        </w:rPr>
        <w:t>注1：费用支出发生的原因是【】</w:t>
      </w:r>
    </w:p>
    <w:p w14:paraId="72F6026B">
      <w:pPr>
        <w:widowControl/>
        <w:spacing w:line="360" w:lineRule="auto"/>
        <w:jc w:val="left"/>
        <w:rPr>
          <w:rFonts w:eastAsia="楷体_GB2312"/>
          <w:sz w:val="18"/>
          <w:szCs w:val="18"/>
        </w:rPr>
      </w:pPr>
      <w:r>
        <w:rPr>
          <w:rFonts w:eastAsia="楷体_GB2312"/>
          <w:sz w:val="18"/>
          <w:szCs w:val="18"/>
        </w:rPr>
        <w:t>注2：证券利息包括次级资产支持证券次级期间收益（如有）。</w:t>
      </w:r>
    </w:p>
    <w:p w14:paraId="62C7B177">
      <w:pPr>
        <w:rPr>
          <w:rFonts w:eastAsia="楷体_GB2312"/>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2201"/>
        <w:gridCol w:w="1843"/>
      </w:tblGrid>
      <w:tr w14:paraId="0F3B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14:paraId="21EFFFF8">
            <w:pPr>
              <w:jc w:val="center"/>
              <w:rPr>
                <w:rFonts w:eastAsia="楷体_GB2312"/>
                <w:b/>
              </w:rPr>
            </w:pPr>
            <w:r>
              <w:rPr>
                <w:rFonts w:eastAsia="楷体_GB2312"/>
                <w:b/>
                <w:sz w:val="28"/>
              </w:rPr>
              <w:t>【信托名称】受托机构报告</w:t>
            </w:r>
          </w:p>
        </w:tc>
      </w:tr>
      <w:tr w14:paraId="7798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14:paraId="7A164351">
            <w:pPr>
              <w:widowControl/>
              <w:spacing w:line="360" w:lineRule="auto"/>
              <w:jc w:val="left"/>
              <w:rPr>
                <w:rFonts w:eastAsia="楷体_GB2312"/>
                <w:b/>
                <w:szCs w:val="21"/>
              </w:rPr>
            </w:pPr>
            <w:r>
              <w:rPr>
                <w:rFonts w:eastAsia="楷体_GB2312"/>
                <w:b/>
                <w:szCs w:val="21"/>
              </w:rPr>
              <w:t>三、资产池情况（续）</w:t>
            </w:r>
          </w:p>
          <w:p w14:paraId="4321827F">
            <w:pPr>
              <w:rPr>
                <w:rFonts w:eastAsia="楷体_GB2312"/>
              </w:rPr>
            </w:pPr>
            <w:r>
              <w:rPr>
                <w:rFonts w:eastAsia="楷体_GB2312"/>
                <w:bCs/>
                <w:szCs w:val="21"/>
              </w:rPr>
              <w:t>（七）划款信息（元）</w:t>
            </w:r>
          </w:p>
        </w:tc>
      </w:tr>
      <w:tr w14:paraId="6254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20A720CE">
            <w:pPr>
              <w:rPr>
                <w:rFonts w:eastAsia="楷体_GB2312"/>
              </w:rPr>
            </w:pPr>
          </w:p>
        </w:tc>
        <w:tc>
          <w:tcPr>
            <w:tcW w:w="2201" w:type="dxa"/>
            <w:shd w:val="clear" w:color="auto" w:fill="C0C0C0"/>
            <w:vAlign w:val="center"/>
          </w:tcPr>
          <w:p w14:paraId="46A24E2F">
            <w:pPr>
              <w:jc w:val="center"/>
              <w:rPr>
                <w:rFonts w:eastAsia="楷体_GB2312"/>
                <w:sz w:val="18"/>
              </w:rPr>
            </w:pPr>
            <w:r>
              <w:rPr>
                <w:rFonts w:eastAsia="楷体_GB2312"/>
                <w:b/>
                <w:sz w:val="18"/>
              </w:rPr>
              <w:t>本收款期间</w:t>
            </w:r>
          </w:p>
        </w:tc>
        <w:tc>
          <w:tcPr>
            <w:tcW w:w="1843" w:type="dxa"/>
            <w:shd w:val="clear" w:color="auto" w:fill="C0C0C0"/>
            <w:vAlign w:val="center"/>
          </w:tcPr>
          <w:p w14:paraId="5B9E48A0">
            <w:pPr>
              <w:jc w:val="center"/>
              <w:rPr>
                <w:rFonts w:eastAsia="楷体_GB2312"/>
                <w:sz w:val="18"/>
              </w:rPr>
            </w:pPr>
            <w:r>
              <w:rPr>
                <w:rFonts w:eastAsia="楷体_GB2312"/>
                <w:b/>
                <w:sz w:val="18"/>
              </w:rPr>
              <w:t>上一收款期间</w:t>
            </w:r>
          </w:p>
        </w:tc>
      </w:tr>
      <w:tr w14:paraId="1845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717B4297">
            <w:pPr>
              <w:widowControl/>
              <w:spacing w:line="360" w:lineRule="auto"/>
              <w:jc w:val="left"/>
              <w:rPr>
                <w:rFonts w:eastAsia="楷体_GB2312"/>
                <w:sz w:val="18"/>
              </w:rPr>
            </w:pPr>
            <w:r>
              <w:rPr>
                <w:rFonts w:eastAsia="楷体_GB2312"/>
                <w:sz w:val="18"/>
              </w:rPr>
              <w:t>转入信托账（本金账）的本金回收款金额</w:t>
            </w:r>
          </w:p>
        </w:tc>
        <w:tc>
          <w:tcPr>
            <w:tcW w:w="2201" w:type="dxa"/>
          </w:tcPr>
          <w:p w14:paraId="20B68747">
            <w:pPr>
              <w:rPr>
                <w:rFonts w:eastAsia="楷体_GB2312"/>
                <w:sz w:val="18"/>
                <w:szCs w:val="18"/>
              </w:rPr>
            </w:pPr>
          </w:p>
        </w:tc>
        <w:tc>
          <w:tcPr>
            <w:tcW w:w="1843" w:type="dxa"/>
          </w:tcPr>
          <w:p w14:paraId="15708257">
            <w:pPr>
              <w:rPr>
                <w:rFonts w:eastAsia="楷体_GB2312"/>
                <w:sz w:val="18"/>
                <w:szCs w:val="18"/>
              </w:rPr>
            </w:pPr>
          </w:p>
        </w:tc>
      </w:tr>
      <w:tr w14:paraId="196F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2BD2AF41">
            <w:pPr>
              <w:widowControl/>
              <w:spacing w:line="360" w:lineRule="auto"/>
              <w:jc w:val="left"/>
              <w:rPr>
                <w:rFonts w:eastAsia="楷体_GB2312"/>
                <w:sz w:val="18"/>
              </w:rPr>
            </w:pPr>
            <w:r>
              <w:rPr>
                <w:rFonts w:eastAsia="楷体_GB2312"/>
                <w:sz w:val="18"/>
              </w:rPr>
              <w:t>转入信托账（收益账）的收入回收款金额</w:t>
            </w:r>
          </w:p>
        </w:tc>
        <w:tc>
          <w:tcPr>
            <w:tcW w:w="2201" w:type="dxa"/>
          </w:tcPr>
          <w:p w14:paraId="4C9A25BB">
            <w:pPr>
              <w:rPr>
                <w:rFonts w:eastAsia="楷体_GB2312"/>
                <w:sz w:val="18"/>
                <w:szCs w:val="18"/>
              </w:rPr>
            </w:pPr>
          </w:p>
        </w:tc>
        <w:tc>
          <w:tcPr>
            <w:tcW w:w="1843" w:type="dxa"/>
          </w:tcPr>
          <w:p w14:paraId="50A65DF6">
            <w:pPr>
              <w:rPr>
                <w:rFonts w:eastAsia="楷体_GB2312"/>
                <w:sz w:val="18"/>
                <w:szCs w:val="18"/>
              </w:rPr>
            </w:pPr>
          </w:p>
        </w:tc>
      </w:tr>
      <w:tr w14:paraId="1D88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tcPr>
          <w:p w14:paraId="642EF317">
            <w:pPr>
              <w:widowControl/>
              <w:spacing w:line="360" w:lineRule="auto"/>
              <w:jc w:val="left"/>
              <w:rPr>
                <w:rFonts w:eastAsia="楷体_GB2312"/>
                <w:sz w:val="18"/>
                <w:lang w:eastAsia="zh-TW"/>
              </w:rPr>
            </w:pPr>
            <w:r>
              <w:rPr>
                <w:rFonts w:eastAsia="楷体_GB2312"/>
                <w:sz w:val="18"/>
                <w:lang w:eastAsia="zh-TW"/>
              </w:rPr>
              <w:t>合计</w:t>
            </w:r>
          </w:p>
        </w:tc>
        <w:tc>
          <w:tcPr>
            <w:tcW w:w="2201" w:type="dxa"/>
          </w:tcPr>
          <w:p w14:paraId="7830A327">
            <w:pPr>
              <w:rPr>
                <w:rFonts w:eastAsia="楷体_GB2312"/>
                <w:sz w:val="18"/>
                <w:szCs w:val="18"/>
              </w:rPr>
            </w:pPr>
          </w:p>
        </w:tc>
        <w:tc>
          <w:tcPr>
            <w:tcW w:w="1843" w:type="dxa"/>
          </w:tcPr>
          <w:p w14:paraId="7CEFFB49">
            <w:pPr>
              <w:rPr>
                <w:rFonts w:eastAsia="楷体_GB2312"/>
                <w:sz w:val="18"/>
                <w:szCs w:val="18"/>
              </w:rPr>
            </w:pPr>
          </w:p>
        </w:tc>
      </w:tr>
    </w:tbl>
    <w:p w14:paraId="0AD6C6B7">
      <w:pPr>
        <w:rPr>
          <w:rFonts w:eastAsia="楷体_GB2312"/>
        </w:rPr>
      </w:pPr>
    </w:p>
    <w:p w14:paraId="6C9213E0">
      <w:pPr>
        <w:widowControl/>
        <w:jc w:val="left"/>
        <w:rPr>
          <w:rFonts w:eastAsia="楷体_GB2312"/>
        </w:rPr>
      </w:pPr>
      <w:r>
        <w:rPr>
          <w:rFonts w:eastAsia="楷体_GB2312"/>
        </w:rPr>
        <w:br w:type="page"/>
      </w:r>
    </w:p>
    <w:tbl>
      <w:tblPr>
        <w:tblStyle w:val="27"/>
        <w:tblW w:w="850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11"/>
        <w:gridCol w:w="1210"/>
        <w:gridCol w:w="1210"/>
        <w:gridCol w:w="321"/>
        <w:gridCol w:w="890"/>
        <w:gridCol w:w="708"/>
        <w:gridCol w:w="502"/>
        <w:gridCol w:w="1210"/>
        <w:gridCol w:w="1238"/>
      </w:tblGrid>
      <w:tr w14:paraId="23551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3B115776">
            <w:pPr>
              <w:widowControl/>
              <w:spacing w:line="360" w:lineRule="auto"/>
              <w:jc w:val="center"/>
              <w:rPr>
                <w:rFonts w:eastAsia="楷体_GB2312"/>
                <w:b/>
                <w:sz w:val="28"/>
              </w:rPr>
            </w:pPr>
            <w:r>
              <w:rPr>
                <w:rFonts w:eastAsia="楷体_GB2312"/>
                <w:b/>
                <w:sz w:val="28"/>
              </w:rPr>
              <w:t>【信托名称】受托机构报告</w:t>
            </w:r>
          </w:p>
        </w:tc>
      </w:tr>
      <w:tr w14:paraId="2F33C2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116D8947">
            <w:pPr>
              <w:widowControl/>
              <w:spacing w:line="360" w:lineRule="auto"/>
              <w:jc w:val="left"/>
              <w:rPr>
                <w:rFonts w:eastAsia="楷体_GB2312"/>
                <w:b/>
                <w:szCs w:val="21"/>
              </w:rPr>
            </w:pPr>
            <w:r>
              <w:rPr>
                <w:rFonts w:eastAsia="楷体_GB2312"/>
                <w:b/>
                <w:szCs w:val="21"/>
              </w:rPr>
              <w:t>四、基础资产存续期总体信息</w:t>
            </w:r>
          </w:p>
          <w:p w14:paraId="323826C3">
            <w:pPr>
              <w:widowControl/>
              <w:spacing w:line="360" w:lineRule="auto"/>
              <w:jc w:val="left"/>
              <w:rPr>
                <w:rFonts w:eastAsia="楷体_GB2312"/>
                <w:bCs/>
                <w:sz w:val="24"/>
              </w:rPr>
            </w:pPr>
            <w:r>
              <w:rPr>
                <w:rFonts w:eastAsia="楷体_GB2312"/>
                <w:bCs/>
                <w:szCs w:val="21"/>
              </w:rPr>
              <w:t>（一）入池资产笔数与金额特征</w:t>
            </w:r>
          </w:p>
        </w:tc>
      </w:tr>
      <w:tr w14:paraId="257AD0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FBE98BD">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7DF68D55">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7698EDB0">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63E363DC">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0AD29D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39FA50F">
            <w:pPr>
              <w:widowControl/>
              <w:spacing w:line="360" w:lineRule="auto"/>
              <w:jc w:val="left"/>
              <w:rPr>
                <w:rFonts w:eastAsia="楷体_GB2312"/>
                <w:sz w:val="18"/>
                <w:lang w:eastAsia="zh-TW"/>
              </w:rPr>
            </w:pPr>
            <w:r>
              <w:rPr>
                <w:rFonts w:eastAsia="楷体_GB2312"/>
                <w:sz w:val="18"/>
                <w:lang w:eastAsia="zh-TW"/>
              </w:rPr>
              <w:t>总笔数</w:t>
            </w:r>
          </w:p>
        </w:tc>
        <w:tc>
          <w:tcPr>
            <w:tcW w:w="1536" w:type="dxa"/>
            <w:gridSpan w:val="2"/>
            <w:tcBorders>
              <w:top w:val="single" w:color="auto" w:sz="4" w:space="0"/>
              <w:left w:val="single" w:color="auto" w:sz="4" w:space="0"/>
              <w:bottom w:val="single" w:color="auto" w:sz="4" w:space="0"/>
              <w:right w:val="single" w:color="auto" w:sz="4" w:space="0"/>
            </w:tcBorders>
          </w:tcPr>
          <w:p w14:paraId="4E8C299C">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72251492">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13930925">
            <w:pPr>
              <w:widowControl/>
              <w:spacing w:line="360" w:lineRule="auto"/>
              <w:jc w:val="left"/>
              <w:rPr>
                <w:rFonts w:eastAsia="楷体_GB2312"/>
                <w:sz w:val="18"/>
                <w:szCs w:val="18"/>
                <w:lang w:eastAsia="zh-TW"/>
              </w:rPr>
            </w:pPr>
          </w:p>
        </w:tc>
      </w:tr>
      <w:tr w14:paraId="1944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4CF8738E">
            <w:pPr>
              <w:widowControl/>
              <w:spacing w:line="360" w:lineRule="auto"/>
              <w:jc w:val="left"/>
              <w:rPr>
                <w:rFonts w:eastAsia="楷体_GB2312"/>
                <w:sz w:val="18"/>
                <w:lang w:eastAsia="zh-TW"/>
              </w:rPr>
            </w:pPr>
            <w:r>
              <w:rPr>
                <w:rFonts w:eastAsia="楷体_GB2312"/>
                <w:sz w:val="18"/>
                <w:lang w:eastAsia="zh-TW"/>
              </w:rPr>
              <w:t>总户数</w:t>
            </w:r>
          </w:p>
        </w:tc>
        <w:tc>
          <w:tcPr>
            <w:tcW w:w="1536" w:type="dxa"/>
            <w:gridSpan w:val="2"/>
            <w:tcBorders>
              <w:top w:val="single" w:color="auto" w:sz="4" w:space="0"/>
              <w:left w:val="single" w:color="auto" w:sz="4" w:space="0"/>
              <w:bottom w:val="single" w:color="auto" w:sz="4" w:space="0"/>
              <w:right w:val="single" w:color="auto" w:sz="4" w:space="0"/>
            </w:tcBorders>
          </w:tcPr>
          <w:p w14:paraId="7275E9C5">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30962CF1">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0C46F57E">
            <w:pPr>
              <w:widowControl/>
              <w:spacing w:line="360" w:lineRule="auto"/>
              <w:jc w:val="left"/>
              <w:rPr>
                <w:rFonts w:eastAsia="楷体_GB2312"/>
                <w:sz w:val="18"/>
                <w:szCs w:val="18"/>
                <w:lang w:eastAsia="zh-TW"/>
              </w:rPr>
            </w:pPr>
          </w:p>
        </w:tc>
      </w:tr>
      <w:tr w14:paraId="1DBB1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68A0F53">
            <w:pPr>
              <w:widowControl/>
              <w:spacing w:line="360" w:lineRule="auto"/>
              <w:jc w:val="left"/>
              <w:rPr>
                <w:rFonts w:eastAsia="楷体_GB2312"/>
                <w:sz w:val="18"/>
                <w:lang w:eastAsia="zh-TW"/>
              </w:rPr>
            </w:pPr>
            <w:r>
              <w:rPr>
                <w:rFonts w:eastAsia="楷体_GB2312"/>
                <w:sz w:val="18"/>
                <w:lang w:eastAsia="zh-TW"/>
              </w:rPr>
              <w:t>未偿本金余额</w:t>
            </w:r>
          </w:p>
        </w:tc>
        <w:tc>
          <w:tcPr>
            <w:tcW w:w="1536" w:type="dxa"/>
            <w:gridSpan w:val="2"/>
            <w:tcBorders>
              <w:top w:val="single" w:color="auto" w:sz="4" w:space="0"/>
              <w:left w:val="single" w:color="auto" w:sz="4" w:space="0"/>
              <w:bottom w:val="single" w:color="auto" w:sz="4" w:space="0"/>
              <w:right w:val="single" w:color="auto" w:sz="4" w:space="0"/>
            </w:tcBorders>
          </w:tcPr>
          <w:p w14:paraId="297AE23C">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6A45CDAB">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12F009F7">
            <w:pPr>
              <w:widowControl/>
              <w:spacing w:line="360" w:lineRule="auto"/>
              <w:jc w:val="left"/>
              <w:rPr>
                <w:rFonts w:eastAsia="楷体_GB2312"/>
                <w:sz w:val="18"/>
                <w:szCs w:val="18"/>
                <w:lang w:eastAsia="zh-TW"/>
              </w:rPr>
            </w:pPr>
          </w:p>
        </w:tc>
      </w:tr>
      <w:tr w14:paraId="565A11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2C94EA75">
            <w:pPr>
              <w:widowControl/>
              <w:spacing w:line="360" w:lineRule="auto"/>
              <w:jc w:val="left"/>
              <w:rPr>
                <w:rFonts w:eastAsia="楷体_GB2312"/>
                <w:sz w:val="18"/>
              </w:rPr>
            </w:pPr>
            <w:r>
              <w:rPr>
                <w:rFonts w:eastAsia="楷体_GB2312"/>
                <w:sz w:val="18"/>
              </w:rPr>
              <w:t>单笔贷款最高本金余额</w:t>
            </w:r>
          </w:p>
        </w:tc>
        <w:tc>
          <w:tcPr>
            <w:tcW w:w="1536" w:type="dxa"/>
            <w:gridSpan w:val="2"/>
            <w:tcBorders>
              <w:top w:val="single" w:color="auto" w:sz="4" w:space="0"/>
              <w:left w:val="single" w:color="auto" w:sz="4" w:space="0"/>
              <w:bottom w:val="single" w:color="auto" w:sz="4" w:space="0"/>
              <w:right w:val="single" w:color="auto" w:sz="4" w:space="0"/>
            </w:tcBorders>
          </w:tcPr>
          <w:p w14:paraId="67F358A7">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7D9CE9D0">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07C2C707">
            <w:pPr>
              <w:widowControl/>
              <w:spacing w:line="360" w:lineRule="auto"/>
              <w:jc w:val="left"/>
              <w:rPr>
                <w:rFonts w:eastAsia="楷体_GB2312"/>
                <w:sz w:val="18"/>
                <w:szCs w:val="18"/>
              </w:rPr>
            </w:pPr>
          </w:p>
        </w:tc>
      </w:tr>
      <w:tr w14:paraId="25295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586844D9">
            <w:pPr>
              <w:widowControl/>
              <w:spacing w:line="360" w:lineRule="auto"/>
              <w:jc w:val="left"/>
              <w:rPr>
                <w:rFonts w:eastAsia="楷体_GB2312"/>
                <w:sz w:val="18"/>
              </w:rPr>
            </w:pPr>
            <w:r>
              <w:rPr>
                <w:rFonts w:eastAsia="楷体_GB2312"/>
                <w:sz w:val="18"/>
              </w:rPr>
              <w:t>单笔贷款平均本金余额</w:t>
            </w:r>
          </w:p>
        </w:tc>
        <w:tc>
          <w:tcPr>
            <w:tcW w:w="1536" w:type="dxa"/>
            <w:gridSpan w:val="2"/>
            <w:tcBorders>
              <w:top w:val="single" w:color="auto" w:sz="4" w:space="0"/>
              <w:left w:val="single" w:color="auto" w:sz="4" w:space="0"/>
              <w:bottom w:val="single" w:color="auto" w:sz="4" w:space="0"/>
              <w:right w:val="single" w:color="auto" w:sz="4" w:space="0"/>
            </w:tcBorders>
          </w:tcPr>
          <w:p w14:paraId="33261EF6">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587E8CF2">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09F207FE">
            <w:pPr>
              <w:widowControl/>
              <w:spacing w:line="360" w:lineRule="auto"/>
              <w:jc w:val="left"/>
              <w:rPr>
                <w:rFonts w:eastAsia="楷体_GB2312"/>
                <w:sz w:val="18"/>
                <w:szCs w:val="18"/>
              </w:rPr>
            </w:pPr>
          </w:p>
        </w:tc>
      </w:tr>
      <w:tr w14:paraId="260FB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3E76B9A3">
            <w:pPr>
              <w:widowControl/>
              <w:spacing w:line="360" w:lineRule="auto"/>
              <w:jc w:val="left"/>
              <w:rPr>
                <w:rFonts w:eastAsia="楷体_GB2312"/>
                <w:sz w:val="18"/>
                <w:lang w:eastAsia="zh-TW"/>
              </w:rPr>
            </w:pPr>
            <w:r>
              <w:rPr>
                <w:rFonts w:eastAsia="楷体_GB2312"/>
                <w:sz w:val="18"/>
                <w:lang w:eastAsia="zh-TW"/>
              </w:rPr>
              <w:t>担保贷款本金余额</w:t>
            </w:r>
          </w:p>
        </w:tc>
        <w:tc>
          <w:tcPr>
            <w:tcW w:w="1536" w:type="dxa"/>
            <w:gridSpan w:val="2"/>
            <w:tcBorders>
              <w:top w:val="single" w:color="auto" w:sz="4" w:space="0"/>
              <w:left w:val="single" w:color="auto" w:sz="4" w:space="0"/>
              <w:bottom w:val="single" w:color="auto" w:sz="4" w:space="0"/>
              <w:right w:val="single" w:color="auto" w:sz="4" w:space="0"/>
            </w:tcBorders>
          </w:tcPr>
          <w:p w14:paraId="6BBC6AE5">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365DB460">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43DD90FB">
            <w:pPr>
              <w:widowControl/>
              <w:spacing w:line="360" w:lineRule="auto"/>
              <w:jc w:val="left"/>
              <w:rPr>
                <w:rFonts w:eastAsia="楷体_GB2312"/>
                <w:sz w:val="18"/>
                <w:szCs w:val="18"/>
                <w:lang w:eastAsia="zh-TW"/>
              </w:rPr>
            </w:pPr>
          </w:p>
        </w:tc>
      </w:tr>
      <w:tr w14:paraId="3B19C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nil"/>
            </w:tcBorders>
          </w:tcPr>
          <w:p w14:paraId="4444FA85">
            <w:pPr>
              <w:widowControl/>
              <w:spacing w:line="360" w:lineRule="auto"/>
              <w:jc w:val="left"/>
              <w:rPr>
                <w:rFonts w:eastAsia="楷体_GB2312"/>
                <w:b/>
                <w:sz w:val="18"/>
              </w:rPr>
            </w:pPr>
            <w:r>
              <w:rPr>
                <w:rFonts w:eastAsia="楷体_GB2312"/>
                <w:bCs/>
                <w:szCs w:val="21"/>
              </w:rPr>
              <w:t>（二）入池资产期限特征</w:t>
            </w:r>
          </w:p>
        </w:tc>
        <w:tc>
          <w:tcPr>
            <w:tcW w:w="1536" w:type="dxa"/>
            <w:gridSpan w:val="2"/>
            <w:tcBorders>
              <w:top w:val="single" w:color="auto" w:sz="4" w:space="0"/>
              <w:left w:val="nil"/>
              <w:bottom w:val="single" w:color="auto" w:sz="4" w:space="0"/>
              <w:right w:val="nil"/>
            </w:tcBorders>
          </w:tcPr>
          <w:p w14:paraId="254B8C98">
            <w:pPr>
              <w:widowControl/>
              <w:spacing w:line="360" w:lineRule="auto"/>
              <w:jc w:val="left"/>
              <w:rPr>
                <w:rFonts w:eastAsia="楷体_GB2312"/>
                <w:sz w:val="18"/>
                <w:szCs w:val="18"/>
              </w:rPr>
            </w:pPr>
          </w:p>
        </w:tc>
        <w:tc>
          <w:tcPr>
            <w:tcW w:w="1603" w:type="dxa"/>
            <w:gridSpan w:val="2"/>
            <w:tcBorders>
              <w:top w:val="single" w:color="auto" w:sz="4" w:space="0"/>
              <w:left w:val="nil"/>
              <w:bottom w:val="single" w:color="auto" w:sz="4" w:space="0"/>
              <w:right w:val="nil"/>
            </w:tcBorders>
          </w:tcPr>
          <w:p w14:paraId="5E5D799C">
            <w:pPr>
              <w:widowControl/>
              <w:spacing w:line="360" w:lineRule="auto"/>
              <w:jc w:val="left"/>
              <w:rPr>
                <w:rFonts w:eastAsia="楷体_GB2312"/>
                <w:sz w:val="18"/>
                <w:szCs w:val="18"/>
              </w:rPr>
            </w:pPr>
          </w:p>
        </w:tc>
        <w:tc>
          <w:tcPr>
            <w:tcW w:w="2960" w:type="dxa"/>
            <w:gridSpan w:val="3"/>
            <w:tcBorders>
              <w:top w:val="single" w:color="auto" w:sz="4" w:space="0"/>
              <w:left w:val="nil"/>
              <w:bottom w:val="single" w:color="auto" w:sz="4" w:space="0"/>
              <w:right w:val="single" w:color="auto" w:sz="4" w:space="0"/>
            </w:tcBorders>
          </w:tcPr>
          <w:p w14:paraId="430F4012">
            <w:pPr>
              <w:widowControl/>
              <w:spacing w:line="360" w:lineRule="auto"/>
              <w:jc w:val="left"/>
              <w:rPr>
                <w:rFonts w:eastAsia="楷体_GB2312"/>
                <w:sz w:val="18"/>
                <w:szCs w:val="18"/>
              </w:rPr>
            </w:pPr>
          </w:p>
        </w:tc>
      </w:tr>
      <w:tr w14:paraId="62E1FE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75AFB90">
            <w:pPr>
              <w:widowControl/>
              <w:spacing w:line="360" w:lineRule="auto"/>
              <w:jc w:val="left"/>
              <w:rPr>
                <w:rFonts w:eastAsia="楷体_GB2312"/>
                <w:sz w:val="18"/>
              </w:rPr>
            </w:pPr>
          </w:p>
        </w:tc>
        <w:tc>
          <w:tcPr>
            <w:tcW w:w="1536" w:type="dxa"/>
            <w:gridSpan w:val="2"/>
            <w:tcBorders>
              <w:top w:val="single" w:color="auto" w:sz="4" w:space="0"/>
              <w:left w:val="single" w:color="auto" w:sz="4" w:space="0"/>
              <w:bottom w:val="single" w:color="auto" w:sz="4" w:space="0"/>
              <w:right w:val="single" w:color="auto" w:sz="4" w:space="0"/>
            </w:tcBorders>
          </w:tcPr>
          <w:p w14:paraId="2871BDF9">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2E91BA32">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27A0E79B">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4497A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12E0C829">
            <w:pPr>
              <w:widowControl/>
              <w:spacing w:line="360" w:lineRule="auto"/>
              <w:jc w:val="left"/>
              <w:rPr>
                <w:rFonts w:eastAsia="楷体_GB2312"/>
                <w:sz w:val="18"/>
              </w:rPr>
            </w:pPr>
            <w:r>
              <w:rPr>
                <w:rFonts w:eastAsia="楷体_GB2312"/>
                <w:sz w:val="18"/>
              </w:rPr>
              <w:t>加权平均合同期限（月）</w:t>
            </w:r>
          </w:p>
        </w:tc>
        <w:tc>
          <w:tcPr>
            <w:tcW w:w="1536" w:type="dxa"/>
            <w:gridSpan w:val="2"/>
            <w:tcBorders>
              <w:top w:val="single" w:color="auto" w:sz="4" w:space="0"/>
              <w:left w:val="single" w:color="auto" w:sz="4" w:space="0"/>
              <w:bottom w:val="single" w:color="auto" w:sz="4" w:space="0"/>
              <w:right w:val="single" w:color="auto" w:sz="4" w:space="0"/>
            </w:tcBorders>
          </w:tcPr>
          <w:p w14:paraId="546B8F21">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3D5ED4B5">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7A12F6EC">
            <w:pPr>
              <w:widowControl/>
              <w:spacing w:line="360" w:lineRule="auto"/>
              <w:jc w:val="left"/>
              <w:rPr>
                <w:rFonts w:eastAsia="楷体_GB2312"/>
                <w:sz w:val="18"/>
                <w:szCs w:val="18"/>
              </w:rPr>
            </w:pPr>
          </w:p>
        </w:tc>
      </w:tr>
      <w:tr w14:paraId="221B5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09E41107">
            <w:pPr>
              <w:widowControl/>
              <w:spacing w:line="360" w:lineRule="auto"/>
              <w:jc w:val="left"/>
              <w:rPr>
                <w:rFonts w:eastAsia="楷体_GB2312"/>
                <w:sz w:val="18"/>
              </w:rPr>
            </w:pPr>
            <w:r>
              <w:rPr>
                <w:rFonts w:eastAsia="楷体_GB2312"/>
                <w:sz w:val="18"/>
              </w:rPr>
              <w:t>加权平均剩余期限（月）</w:t>
            </w:r>
          </w:p>
        </w:tc>
        <w:tc>
          <w:tcPr>
            <w:tcW w:w="1536" w:type="dxa"/>
            <w:gridSpan w:val="2"/>
            <w:tcBorders>
              <w:top w:val="single" w:color="auto" w:sz="4" w:space="0"/>
              <w:left w:val="single" w:color="auto" w:sz="4" w:space="0"/>
              <w:bottom w:val="single" w:color="auto" w:sz="4" w:space="0"/>
              <w:right w:val="single" w:color="auto" w:sz="4" w:space="0"/>
            </w:tcBorders>
          </w:tcPr>
          <w:p w14:paraId="0D6DED66">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4D3909D7">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203B6841">
            <w:pPr>
              <w:widowControl/>
              <w:spacing w:line="360" w:lineRule="auto"/>
              <w:jc w:val="left"/>
              <w:rPr>
                <w:rFonts w:eastAsia="楷体_GB2312"/>
                <w:sz w:val="18"/>
                <w:szCs w:val="18"/>
              </w:rPr>
            </w:pPr>
          </w:p>
        </w:tc>
      </w:tr>
      <w:tr w14:paraId="1BB68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0DB407A1">
            <w:pPr>
              <w:widowControl/>
              <w:spacing w:line="360" w:lineRule="auto"/>
              <w:jc w:val="left"/>
              <w:rPr>
                <w:rFonts w:eastAsia="楷体_GB2312"/>
                <w:sz w:val="18"/>
                <w:lang w:eastAsia="zh-TW"/>
              </w:rPr>
            </w:pPr>
            <w:r>
              <w:rPr>
                <w:rFonts w:eastAsia="楷体_GB2312"/>
                <w:sz w:val="18"/>
                <w:lang w:eastAsia="zh-TW"/>
              </w:rPr>
              <w:t>加权平均账龄</w:t>
            </w:r>
            <w:r>
              <w:rPr>
                <w:rFonts w:eastAsia="楷体_GB2312"/>
                <w:sz w:val="18"/>
              </w:rPr>
              <w:t>（月）</w:t>
            </w:r>
          </w:p>
        </w:tc>
        <w:tc>
          <w:tcPr>
            <w:tcW w:w="1536" w:type="dxa"/>
            <w:gridSpan w:val="2"/>
            <w:tcBorders>
              <w:top w:val="single" w:color="auto" w:sz="4" w:space="0"/>
              <w:left w:val="single" w:color="auto" w:sz="4" w:space="0"/>
              <w:bottom w:val="single" w:color="auto" w:sz="4" w:space="0"/>
              <w:right w:val="single" w:color="auto" w:sz="4" w:space="0"/>
            </w:tcBorders>
          </w:tcPr>
          <w:p w14:paraId="4E955D2A">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5323FE81">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26E78A6F">
            <w:pPr>
              <w:widowControl/>
              <w:spacing w:line="360" w:lineRule="auto"/>
              <w:jc w:val="left"/>
              <w:rPr>
                <w:rFonts w:eastAsia="楷体_GB2312"/>
                <w:sz w:val="18"/>
                <w:szCs w:val="18"/>
                <w:lang w:eastAsia="zh-TW"/>
              </w:rPr>
            </w:pPr>
          </w:p>
        </w:tc>
      </w:tr>
      <w:tr w14:paraId="06455A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44C8067F">
            <w:pPr>
              <w:widowControl/>
              <w:spacing w:line="360" w:lineRule="auto"/>
              <w:jc w:val="left"/>
              <w:rPr>
                <w:rFonts w:eastAsia="楷体_GB2312"/>
                <w:sz w:val="18"/>
              </w:rPr>
            </w:pPr>
            <w:r>
              <w:rPr>
                <w:rFonts w:eastAsia="楷体_GB2312"/>
                <w:sz w:val="18"/>
              </w:rPr>
              <w:t>单笔贷款最长到期期限（月）</w:t>
            </w:r>
          </w:p>
        </w:tc>
        <w:tc>
          <w:tcPr>
            <w:tcW w:w="1536" w:type="dxa"/>
            <w:gridSpan w:val="2"/>
            <w:tcBorders>
              <w:top w:val="single" w:color="auto" w:sz="4" w:space="0"/>
              <w:left w:val="single" w:color="auto" w:sz="4" w:space="0"/>
              <w:bottom w:val="single" w:color="auto" w:sz="4" w:space="0"/>
              <w:right w:val="single" w:color="auto" w:sz="4" w:space="0"/>
            </w:tcBorders>
          </w:tcPr>
          <w:p w14:paraId="48ADFDEB">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55F2FAA9">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6586FA83">
            <w:pPr>
              <w:widowControl/>
              <w:spacing w:line="360" w:lineRule="auto"/>
              <w:jc w:val="left"/>
              <w:rPr>
                <w:rFonts w:eastAsia="楷体_GB2312"/>
                <w:sz w:val="18"/>
                <w:szCs w:val="18"/>
              </w:rPr>
            </w:pPr>
          </w:p>
        </w:tc>
      </w:tr>
      <w:tr w14:paraId="65736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2DB22FDF">
            <w:pPr>
              <w:widowControl/>
              <w:spacing w:line="360" w:lineRule="auto"/>
              <w:jc w:val="left"/>
              <w:rPr>
                <w:rFonts w:eastAsia="楷体_GB2312"/>
                <w:sz w:val="18"/>
              </w:rPr>
            </w:pPr>
            <w:r>
              <w:rPr>
                <w:rFonts w:eastAsia="楷体_GB2312"/>
                <w:sz w:val="18"/>
              </w:rPr>
              <w:t>单笔贷款最短到期期限（月）</w:t>
            </w:r>
          </w:p>
        </w:tc>
        <w:tc>
          <w:tcPr>
            <w:tcW w:w="1536" w:type="dxa"/>
            <w:gridSpan w:val="2"/>
            <w:tcBorders>
              <w:top w:val="single" w:color="auto" w:sz="4" w:space="0"/>
              <w:left w:val="single" w:color="auto" w:sz="4" w:space="0"/>
              <w:bottom w:val="single" w:color="auto" w:sz="4" w:space="0"/>
              <w:right w:val="single" w:color="auto" w:sz="4" w:space="0"/>
            </w:tcBorders>
          </w:tcPr>
          <w:p w14:paraId="27E35B00">
            <w:pPr>
              <w:widowControl/>
              <w:spacing w:line="360" w:lineRule="auto"/>
              <w:jc w:val="left"/>
              <w:rPr>
                <w:rFonts w:eastAsia="楷体_GB2312"/>
                <w:sz w:val="18"/>
                <w:szCs w:val="18"/>
              </w:rPr>
            </w:pPr>
          </w:p>
        </w:tc>
        <w:tc>
          <w:tcPr>
            <w:tcW w:w="1603" w:type="dxa"/>
            <w:gridSpan w:val="2"/>
            <w:tcBorders>
              <w:top w:val="single" w:color="auto" w:sz="4" w:space="0"/>
              <w:left w:val="single" w:color="auto" w:sz="4" w:space="0"/>
              <w:bottom w:val="single" w:color="auto" w:sz="4" w:space="0"/>
              <w:right w:val="single" w:color="auto" w:sz="4" w:space="0"/>
            </w:tcBorders>
          </w:tcPr>
          <w:p w14:paraId="5826D26F">
            <w:pPr>
              <w:widowControl/>
              <w:spacing w:line="360" w:lineRule="auto"/>
              <w:jc w:val="left"/>
              <w:rPr>
                <w:rFonts w:eastAsia="楷体_GB2312"/>
                <w:sz w:val="18"/>
                <w:szCs w:val="18"/>
              </w:rPr>
            </w:pPr>
          </w:p>
        </w:tc>
        <w:tc>
          <w:tcPr>
            <w:tcW w:w="2960" w:type="dxa"/>
            <w:gridSpan w:val="3"/>
            <w:tcBorders>
              <w:top w:val="single" w:color="auto" w:sz="4" w:space="0"/>
              <w:left w:val="single" w:color="auto" w:sz="4" w:space="0"/>
              <w:bottom w:val="single" w:color="auto" w:sz="4" w:space="0"/>
              <w:right w:val="single" w:color="auto" w:sz="4" w:space="0"/>
            </w:tcBorders>
          </w:tcPr>
          <w:p w14:paraId="6463D872">
            <w:pPr>
              <w:widowControl/>
              <w:spacing w:line="360" w:lineRule="auto"/>
              <w:jc w:val="left"/>
              <w:rPr>
                <w:rFonts w:eastAsia="楷体_GB2312"/>
                <w:sz w:val="18"/>
                <w:szCs w:val="18"/>
              </w:rPr>
            </w:pPr>
          </w:p>
        </w:tc>
      </w:tr>
      <w:tr w14:paraId="304B5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17EB132D">
            <w:pPr>
              <w:widowControl/>
              <w:spacing w:line="360" w:lineRule="auto"/>
              <w:jc w:val="left"/>
              <w:rPr>
                <w:rFonts w:eastAsia="楷体_GB2312"/>
                <w:sz w:val="18"/>
                <w:szCs w:val="18"/>
              </w:rPr>
            </w:pPr>
            <w:r>
              <w:rPr>
                <w:rFonts w:eastAsia="楷体_GB2312"/>
                <w:bCs/>
                <w:szCs w:val="21"/>
              </w:rPr>
              <w:t>（三）入池资产利率特征</w:t>
            </w:r>
          </w:p>
        </w:tc>
      </w:tr>
      <w:tr w14:paraId="7325B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56114305">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6F45070E">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462CA809">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right w:val="single" w:color="auto" w:sz="4" w:space="0"/>
            </w:tcBorders>
          </w:tcPr>
          <w:p w14:paraId="3A37362A">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08BD5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09925514">
            <w:pPr>
              <w:widowControl/>
              <w:spacing w:line="360" w:lineRule="auto"/>
              <w:jc w:val="left"/>
              <w:rPr>
                <w:rFonts w:eastAsia="楷体_GB2312"/>
                <w:sz w:val="18"/>
                <w:lang w:eastAsia="zh-TW"/>
              </w:rPr>
            </w:pPr>
            <w:r>
              <w:rPr>
                <w:rFonts w:eastAsia="楷体_GB2312"/>
                <w:sz w:val="18"/>
                <w:lang w:eastAsia="zh-TW"/>
              </w:rPr>
              <w:t>加权平均贷款利率</w:t>
            </w:r>
          </w:p>
        </w:tc>
        <w:tc>
          <w:tcPr>
            <w:tcW w:w="1536" w:type="dxa"/>
            <w:gridSpan w:val="2"/>
            <w:tcBorders>
              <w:top w:val="single" w:color="auto" w:sz="4" w:space="0"/>
              <w:left w:val="single" w:color="auto" w:sz="4" w:space="0"/>
              <w:bottom w:val="single" w:color="auto" w:sz="4" w:space="0"/>
              <w:right w:val="single" w:color="auto" w:sz="4" w:space="0"/>
            </w:tcBorders>
          </w:tcPr>
          <w:p w14:paraId="4DD695D7">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3C3F2E13">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5ED767FE">
            <w:pPr>
              <w:widowControl/>
              <w:spacing w:line="360" w:lineRule="auto"/>
              <w:jc w:val="left"/>
              <w:rPr>
                <w:rFonts w:eastAsia="楷体_GB2312"/>
                <w:sz w:val="18"/>
                <w:szCs w:val="18"/>
                <w:lang w:eastAsia="zh-TW"/>
              </w:rPr>
            </w:pPr>
          </w:p>
        </w:tc>
      </w:tr>
      <w:tr w14:paraId="77DD2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624BED25">
            <w:pPr>
              <w:widowControl/>
              <w:spacing w:line="360" w:lineRule="auto"/>
              <w:jc w:val="left"/>
              <w:rPr>
                <w:rFonts w:eastAsia="楷体_GB2312"/>
                <w:sz w:val="18"/>
                <w:lang w:eastAsia="zh-TW"/>
              </w:rPr>
            </w:pPr>
            <w:r>
              <w:rPr>
                <w:rFonts w:eastAsia="楷体_GB2312"/>
                <w:sz w:val="18"/>
                <w:lang w:eastAsia="zh-TW"/>
              </w:rPr>
              <w:t>最高贷款利率</w:t>
            </w:r>
          </w:p>
        </w:tc>
        <w:tc>
          <w:tcPr>
            <w:tcW w:w="1536" w:type="dxa"/>
            <w:gridSpan w:val="2"/>
            <w:tcBorders>
              <w:top w:val="single" w:color="auto" w:sz="4" w:space="0"/>
              <w:left w:val="single" w:color="auto" w:sz="4" w:space="0"/>
              <w:bottom w:val="single" w:color="auto" w:sz="4" w:space="0"/>
              <w:right w:val="single" w:color="auto" w:sz="4" w:space="0"/>
            </w:tcBorders>
          </w:tcPr>
          <w:p w14:paraId="15D59549">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3DCCDA20">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76D8D7D6">
            <w:pPr>
              <w:widowControl/>
              <w:spacing w:line="360" w:lineRule="auto"/>
              <w:jc w:val="left"/>
              <w:rPr>
                <w:rFonts w:eastAsia="楷体_GB2312"/>
                <w:sz w:val="18"/>
                <w:szCs w:val="18"/>
                <w:lang w:eastAsia="zh-TW"/>
              </w:rPr>
            </w:pPr>
          </w:p>
        </w:tc>
      </w:tr>
      <w:tr w14:paraId="1A7F1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left w:val="single" w:color="auto" w:sz="4" w:space="0"/>
              <w:bottom w:val="single" w:color="auto" w:sz="4" w:space="0"/>
              <w:right w:val="single" w:color="auto" w:sz="4" w:space="0"/>
            </w:tcBorders>
          </w:tcPr>
          <w:p w14:paraId="7951A5D5">
            <w:pPr>
              <w:widowControl/>
              <w:spacing w:line="360" w:lineRule="auto"/>
              <w:jc w:val="left"/>
              <w:rPr>
                <w:rFonts w:eastAsia="楷体_GB2312"/>
                <w:sz w:val="18"/>
                <w:lang w:eastAsia="zh-TW"/>
              </w:rPr>
            </w:pPr>
            <w:r>
              <w:rPr>
                <w:rFonts w:eastAsia="楷体_GB2312"/>
                <w:sz w:val="18"/>
                <w:lang w:eastAsia="zh-TW"/>
              </w:rPr>
              <w:t>最低贷款利率</w:t>
            </w:r>
          </w:p>
        </w:tc>
        <w:tc>
          <w:tcPr>
            <w:tcW w:w="1536" w:type="dxa"/>
            <w:gridSpan w:val="2"/>
            <w:tcBorders>
              <w:top w:val="single" w:color="auto" w:sz="4" w:space="0"/>
              <w:left w:val="single" w:color="auto" w:sz="4" w:space="0"/>
              <w:bottom w:val="single" w:color="auto" w:sz="4" w:space="0"/>
              <w:right w:val="single" w:color="auto" w:sz="4" w:space="0"/>
            </w:tcBorders>
          </w:tcPr>
          <w:p w14:paraId="4C53D9E2">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47DA9688">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right w:val="single" w:color="auto" w:sz="4" w:space="0"/>
            </w:tcBorders>
          </w:tcPr>
          <w:p w14:paraId="27CDBAAC">
            <w:pPr>
              <w:widowControl/>
              <w:spacing w:line="360" w:lineRule="auto"/>
              <w:jc w:val="left"/>
              <w:rPr>
                <w:rFonts w:eastAsia="楷体_GB2312"/>
                <w:sz w:val="18"/>
                <w:szCs w:val="18"/>
                <w:lang w:eastAsia="zh-TW"/>
              </w:rPr>
            </w:pPr>
          </w:p>
        </w:tc>
      </w:tr>
      <w:tr w14:paraId="378205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left w:val="single" w:color="auto" w:sz="4" w:space="0"/>
              <w:bottom w:val="single" w:color="auto" w:sz="4" w:space="0"/>
              <w:right w:val="single" w:color="auto" w:sz="4" w:space="0"/>
            </w:tcBorders>
          </w:tcPr>
          <w:p w14:paraId="18595E44">
            <w:pPr>
              <w:widowControl/>
              <w:spacing w:line="360" w:lineRule="auto"/>
              <w:jc w:val="left"/>
              <w:rPr>
                <w:rFonts w:eastAsia="楷体_GB2312"/>
                <w:sz w:val="18"/>
                <w:szCs w:val="18"/>
              </w:rPr>
            </w:pPr>
            <w:r>
              <w:rPr>
                <w:rFonts w:eastAsia="楷体_GB2312"/>
                <w:bCs/>
                <w:szCs w:val="21"/>
              </w:rPr>
              <w:t>（四）借款人分布情况</w:t>
            </w:r>
          </w:p>
        </w:tc>
      </w:tr>
      <w:tr w14:paraId="75A21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1220E025">
            <w:pPr>
              <w:widowControl/>
              <w:spacing w:line="360" w:lineRule="auto"/>
              <w:jc w:val="left"/>
              <w:rPr>
                <w:rFonts w:eastAsia="楷体_GB2312"/>
                <w:bCs/>
                <w:szCs w:val="21"/>
                <w:lang w:eastAsia="zh-TW"/>
              </w:rPr>
            </w:pPr>
            <w:r>
              <w:rPr>
                <w:rFonts w:eastAsia="楷体_GB2312"/>
                <w:sz w:val="18"/>
              </w:rPr>
              <w:t>债务人类型</w:t>
            </w:r>
          </w:p>
        </w:tc>
        <w:tc>
          <w:tcPr>
            <w:tcW w:w="1214" w:type="dxa"/>
            <w:tcBorders>
              <w:top w:val="single" w:color="auto" w:sz="4" w:space="0"/>
              <w:left w:val="single" w:color="auto" w:sz="4" w:space="0"/>
              <w:bottom w:val="single" w:color="auto" w:sz="4" w:space="0"/>
              <w:right w:val="single" w:color="auto" w:sz="4" w:space="0"/>
            </w:tcBorders>
          </w:tcPr>
          <w:p w14:paraId="1243AF8E">
            <w:pPr>
              <w:widowControl/>
              <w:spacing w:line="360" w:lineRule="auto"/>
              <w:jc w:val="left"/>
              <w:rPr>
                <w:rFonts w:eastAsia="楷体_GB2312"/>
                <w:bCs/>
                <w:szCs w:val="21"/>
              </w:rPr>
            </w:pPr>
            <w:r>
              <w:rPr>
                <w:rFonts w:eastAsia="楷体_GB2312"/>
                <w:sz w:val="18"/>
              </w:rPr>
              <w:t>初始起算日入池金额</w:t>
            </w:r>
          </w:p>
        </w:tc>
        <w:tc>
          <w:tcPr>
            <w:tcW w:w="1214" w:type="dxa"/>
            <w:tcBorders>
              <w:top w:val="single" w:color="auto" w:sz="4" w:space="0"/>
              <w:left w:val="single" w:color="auto" w:sz="4" w:space="0"/>
              <w:bottom w:val="single" w:color="auto" w:sz="4" w:space="0"/>
              <w:right w:val="single" w:color="auto" w:sz="4" w:space="0"/>
            </w:tcBorders>
          </w:tcPr>
          <w:p w14:paraId="49B29255">
            <w:pPr>
              <w:widowControl/>
              <w:spacing w:line="360" w:lineRule="auto"/>
              <w:jc w:val="left"/>
              <w:rPr>
                <w:rFonts w:eastAsia="楷体_GB2312"/>
                <w:bCs/>
                <w:szCs w:val="21"/>
              </w:rPr>
            </w:pPr>
            <w:r>
              <w:rPr>
                <w:rFonts w:eastAsia="楷体_GB2312"/>
                <w:sz w:val="18"/>
              </w:rPr>
              <w:t>初始起算日入池金额占比（%）</w:t>
            </w:r>
          </w:p>
        </w:tc>
        <w:tc>
          <w:tcPr>
            <w:tcW w:w="1215" w:type="dxa"/>
            <w:gridSpan w:val="2"/>
            <w:tcBorders>
              <w:top w:val="single" w:color="auto" w:sz="4" w:space="0"/>
              <w:left w:val="single" w:color="auto" w:sz="4" w:space="0"/>
              <w:bottom w:val="single" w:color="auto" w:sz="4" w:space="0"/>
              <w:right w:val="single" w:color="auto" w:sz="4" w:space="0"/>
            </w:tcBorders>
          </w:tcPr>
          <w:p w14:paraId="62A4A61C">
            <w:pPr>
              <w:widowControl/>
              <w:spacing w:line="360" w:lineRule="auto"/>
              <w:jc w:val="left"/>
              <w:rPr>
                <w:rFonts w:eastAsia="楷体_GB2312"/>
                <w:bCs/>
                <w:szCs w:val="21"/>
              </w:rPr>
            </w:pPr>
            <w:r>
              <w:rPr>
                <w:rFonts w:eastAsia="楷体_GB2312"/>
                <w:sz w:val="18"/>
              </w:rPr>
              <w:t>本次报告期末贷款笔数</w:t>
            </w:r>
          </w:p>
        </w:tc>
        <w:tc>
          <w:tcPr>
            <w:tcW w:w="1214" w:type="dxa"/>
            <w:gridSpan w:val="2"/>
            <w:tcBorders>
              <w:top w:val="single" w:color="auto" w:sz="4" w:space="0"/>
              <w:left w:val="single" w:color="auto" w:sz="4" w:space="0"/>
              <w:bottom w:val="single" w:color="auto" w:sz="4" w:space="0"/>
              <w:right w:val="single" w:color="auto" w:sz="4" w:space="0"/>
            </w:tcBorders>
          </w:tcPr>
          <w:p w14:paraId="61857B34">
            <w:pPr>
              <w:widowControl/>
              <w:spacing w:line="360" w:lineRule="auto"/>
              <w:jc w:val="left"/>
              <w:rPr>
                <w:rFonts w:eastAsia="楷体_GB2312"/>
                <w:bCs/>
                <w:szCs w:val="21"/>
              </w:rPr>
            </w:pPr>
            <w:r>
              <w:rPr>
                <w:rFonts w:eastAsia="楷体_GB2312"/>
                <w:sz w:val="18"/>
              </w:rPr>
              <w:t>本次报告期末贷款笔数占比（%）</w:t>
            </w:r>
          </w:p>
        </w:tc>
        <w:tc>
          <w:tcPr>
            <w:tcW w:w="1214" w:type="dxa"/>
            <w:tcBorders>
              <w:top w:val="single" w:color="auto" w:sz="4" w:space="0"/>
              <w:left w:val="single" w:color="auto" w:sz="4" w:space="0"/>
              <w:bottom w:val="single" w:color="auto" w:sz="4" w:space="0"/>
              <w:right w:val="single" w:color="auto" w:sz="4" w:space="0"/>
            </w:tcBorders>
          </w:tcPr>
          <w:p w14:paraId="58D45D78">
            <w:pPr>
              <w:widowControl/>
              <w:spacing w:line="360" w:lineRule="auto"/>
              <w:jc w:val="left"/>
              <w:rPr>
                <w:rFonts w:eastAsia="楷体_GB2312"/>
                <w:bCs/>
                <w:szCs w:val="21"/>
              </w:rPr>
            </w:pPr>
            <w:r>
              <w:rPr>
                <w:rFonts w:eastAsia="楷体_GB2312"/>
                <w:sz w:val="18"/>
              </w:rPr>
              <w:t>本次报告期末未偿金额</w:t>
            </w:r>
          </w:p>
        </w:tc>
        <w:tc>
          <w:tcPr>
            <w:tcW w:w="1215" w:type="dxa"/>
            <w:tcBorders>
              <w:top w:val="single" w:color="auto" w:sz="4" w:space="0"/>
              <w:left w:val="single" w:color="auto" w:sz="4" w:space="0"/>
              <w:bottom w:val="single" w:color="auto" w:sz="4" w:space="0"/>
              <w:right w:val="single" w:color="auto" w:sz="4" w:space="0"/>
            </w:tcBorders>
          </w:tcPr>
          <w:p w14:paraId="6612ADCB">
            <w:pPr>
              <w:widowControl/>
              <w:spacing w:line="360" w:lineRule="auto"/>
              <w:jc w:val="left"/>
              <w:rPr>
                <w:rFonts w:eastAsia="楷体_GB2312"/>
                <w:bCs/>
                <w:szCs w:val="21"/>
              </w:rPr>
            </w:pPr>
            <w:r>
              <w:rPr>
                <w:rFonts w:eastAsia="楷体_GB2312"/>
                <w:sz w:val="18"/>
              </w:rPr>
              <w:t>本次报告期末未偿金额占比（%）</w:t>
            </w:r>
          </w:p>
        </w:tc>
      </w:tr>
      <w:tr w14:paraId="1978D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679EB09C">
            <w:pPr>
              <w:widowControl/>
              <w:spacing w:line="360" w:lineRule="auto"/>
              <w:jc w:val="left"/>
              <w:rPr>
                <w:rFonts w:eastAsia="楷体_GB2312"/>
                <w:bCs/>
                <w:szCs w:val="21"/>
                <w:lang w:eastAsia="zh-TW"/>
              </w:rPr>
            </w:pPr>
            <w:r>
              <w:rPr>
                <w:rFonts w:eastAsia="楷体_GB2312"/>
                <w:sz w:val="18"/>
                <w:lang w:eastAsia="zh-TW"/>
              </w:rPr>
              <w:t>【</w:t>
            </w:r>
            <w:r>
              <w:rPr>
                <w:rFonts w:eastAsia="楷体_GB2312"/>
                <w:sz w:val="18"/>
              </w:rPr>
              <w:t>企业贷款</w:t>
            </w:r>
            <w:r>
              <w:rPr>
                <w:rFonts w:eastAsia="楷体_GB2312"/>
                <w:sz w:val="18"/>
                <w:lang w:eastAsia="zh-TW"/>
              </w:rPr>
              <w:t>】</w:t>
            </w:r>
          </w:p>
        </w:tc>
        <w:tc>
          <w:tcPr>
            <w:tcW w:w="1214" w:type="dxa"/>
            <w:tcBorders>
              <w:top w:val="single" w:color="auto" w:sz="4" w:space="0"/>
              <w:left w:val="single" w:color="auto" w:sz="4" w:space="0"/>
              <w:bottom w:val="single" w:color="auto" w:sz="4" w:space="0"/>
              <w:right w:val="single" w:color="auto" w:sz="4" w:space="0"/>
            </w:tcBorders>
          </w:tcPr>
          <w:p w14:paraId="4DEA457C">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2F7886B5">
            <w:pPr>
              <w:widowControl/>
              <w:spacing w:line="360" w:lineRule="auto"/>
              <w:jc w:val="left"/>
              <w:rPr>
                <w:rFonts w:eastAsia="楷体_GB2312"/>
                <w:bCs/>
                <w:szCs w:val="21"/>
                <w:lang w:eastAsia="zh-TW"/>
              </w:rPr>
            </w:pPr>
          </w:p>
        </w:tc>
        <w:tc>
          <w:tcPr>
            <w:tcW w:w="1215" w:type="dxa"/>
            <w:gridSpan w:val="2"/>
            <w:tcBorders>
              <w:top w:val="single" w:color="auto" w:sz="4" w:space="0"/>
              <w:left w:val="single" w:color="auto" w:sz="4" w:space="0"/>
              <w:bottom w:val="single" w:color="auto" w:sz="4" w:space="0"/>
              <w:right w:val="single" w:color="auto" w:sz="4" w:space="0"/>
            </w:tcBorders>
          </w:tcPr>
          <w:p w14:paraId="3DD48D5E">
            <w:pPr>
              <w:widowControl/>
              <w:spacing w:line="360" w:lineRule="auto"/>
              <w:jc w:val="left"/>
              <w:rPr>
                <w:rFonts w:eastAsia="楷体_GB2312"/>
                <w:bCs/>
                <w:szCs w:val="21"/>
                <w:lang w:eastAsia="zh-TW"/>
              </w:rPr>
            </w:pPr>
          </w:p>
        </w:tc>
        <w:tc>
          <w:tcPr>
            <w:tcW w:w="1214" w:type="dxa"/>
            <w:gridSpan w:val="2"/>
            <w:tcBorders>
              <w:top w:val="single" w:color="auto" w:sz="4" w:space="0"/>
              <w:left w:val="single" w:color="auto" w:sz="4" w:space="0"/>
              <w:bottom w:val="single" w:color="auto" w:sz="4" w:space="0"/>
              <w:right w:val="single" w:color="auto" w:sz="4" w:space="0"/>
            </w:tcBorders>
          </w:tcPr>
          <w:p w14:paraId="1E403128">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1FAA957D">
            <w:pPr>
              <w:widowControl/>
              <w:spacing w:line="360" w:lineRule="auto"/>
              <w:jc w:val="left"/>
              <w:rPr>
                <w:rFonts w:eastAsia="楷体_GB2312"/>
                <w:bCs/>
                <w:szCs w:val="21"/>
                <w:lang w:eastAsia="zh-TW"/>
              </w:rPr>
            </w:pPr>
          </w:p>
        </w:tc>
        <w:tc>
          <w:tcPr>
            <w:tcW w:w="1215" w:type="dxa"/>
            <w:tcBorders>
              <w:top w:val="single" w:color="auto" w:sz="4" w:space="0"/>
              <w:left w:val="single" w:color="auto" w:sz="4" w:space="0"/>
              <w:bottom w:val="single" w:color="auto" w:sz="4" w:space="0"/>
              <w:right w:val="single" w:color="auto" w:sz="4" w:space="0"/>
            </w:tcBorders>
          </w:tcPr>
          <w:p w14:paraId="6E359A99">
            <w:pPr>
              <w:widowControl/>
              <w:spacing w:line="360" w:lineRule="auto"/>
              <w:jc w:val="left"/>
              <w:rPr>
                <w:rFonts w:eastAsia="楷体_GB2312"/>
                <w:bCs/>
                <w:szCs w:val="21"/>
                <w:lang w:eastAsia="zh-TW"/>
              </w:rPr>
            </w:pPr>
          </w:p>
        </w:tc>
      </w:tr>
      <w:tr w14:paraId="4924E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4" w:type="dxa"/>
            <w:tcBorders>
              <w:top w:val="single" w:color="auto" w:sz="4" w:space="0"/>
              <w:left w:val="single" w:color="auto" w:sz="4" w:space="0"/>
              <w:bottom w:val="single" w:color="auto" w:sz="4" w:space="0"/>
              <w:right w:val="single" w:color="auto" w:sz="4" w:space="0"/>
            </w:tcBorders>
          </w:tcPr>
          <w:p w14:paraId="4BCF438B">
            <w:pPr>
              <w:widowControl/>
              <w:spacing w:line="360" w:lineRule="auto"/>
              <w:jc w:val="left"/>
              <w:rPr>
                <w:rFonts w:eastAsia="楷体_GB2312"/>
                <w:bCs/>
                <w:szCs w:val="21"/>
                <w:lang w:eastAsia="zh-TW"/>
              </w:rPr>
            </w:pPr>
            <w:r>
              <w:rPr>
                <w:rFonts w:eastAsia="楷体_GB2312"/>
                <w:sz w:val="18"/>
                <w:lang w:eastAsia="zh-TW"/>
              </w:rPr>
              <w:t>【】</w:t>
            </w:r>
          </w:p>
        </w:tc>
        <w:tc>
          <w:tcPr>
            <w:tcW w:w="1214" w:type="dxa"/>
            <w:tcBorders>
              <w:top w:val="single" w:color="auto" w:sz="4" w:space="0"/>
              <w:left w:val="single" w:color="auto" w:sz="4" w:space="0"/>
              <w:bottom w:val="single" w:color="auto" w:sz="4" w:space="0"/>
              <w:right w:val="single" w:color="auto" w:sz="4" w:space="0"/>
            </w:tcBorders>
          </w:tcPr>
          <w:p w14:paraId="695F0FE6">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7EF1D3AD">
            <w:pPr>
              <w:widowControl/>
              <w:spacing w:line="360" w:lineRule="auto"/>
              <w:jc w:val="left"/>
              <w:rPr>
                <w:rFonts w:eastAsia="楷体_GB2312"/>
                <w:bCs/>
                <w:szCs w:val="21"/>
                <w:lang w:eastAsia="zh-TW"/>
              </w:rPr>
            </w:pPr>
          </w:p>
        </w:tc>
        <w:tc>
          <w:tcPr>
            <w:tcW w:w="1215" w:type="dxa"/>
            <w:gridSpan w:val="2"/>
            <w:tcBorders>
              <w:top w:val="single" w:color="auto" w:sz="4" w:space="0"/>
              <w:left w:val="single" w:color="auto" w:sz="4" w:space="0"/>
              <w:bottom w:val="single" w:color="auto" w:sz="4" w:space="0"/>
              <w:right w:val="single" w:color="auto" w:sz="4" w:space="0"/>
            </w:tcBorders>
          </w:tcPr>
          <w:p w14:paraId="1E528DFC">
            <w:pPr>
              <w:widowControl/>
              <w:spacing w:line="360" w:lineRule="auto"/>
              <w:jc w:val="left"/>
              <w:rPr>
                <w:rFonts w:eastAsia="楷体_GB2312"/>
                <w:bCs/>
                <w:szCs w:val="21"/>
                <w:lang w:eastAsia="zh-TW"/>
              </w:rPr>
            </w:pPr>
          </w:p>
        </w:tc>
        <w:tc>
          <w:tcPr>
            <w:tcW w:w="1214" w:type="dxa"/>
            <w:gridSpan w:val="2"/>
            <w:tcBorders>
              <w:top w:val="single" w:color="auto" w:sz="4" w:space="0"/>
              <w:left w:val="single" w:color="auto" w:sz="4" w:space="0"/>
              <w:bottom w:val="single" w:color="auto" w:sz="4" w:space="0"/>
              <w:right w:val="single" w:color="auto" w:sz="4" w:space="0"/>
            </w:tcBorders>
          </w:tcPr>
          <w:p w14:paraId="601DB305">
            <w:pPr>
              <w:widowControl/>
              <w:spacing w:line="360" w:lineRule="auto"/>
              <w:jc w:val="left"/>
              <w:rPr>
                <w:rFonts w:eastAsia="楷体_GB2312"/>
                <w:bCs/>
                <w:szCs w:val="21"/>
                <w:lang w:eastAsia="zh-TW"/>
              </w:rPr>
            </w:pPr>
          </w:p>
        </w:tc>
        <w:tc>
          <w:tcPr>
            <w:tcW w:w="1214" w:type="dxa"/>
            <w:tcBorders>
              <w:top w:val="single" w:color="auto" w:sz="4" w:space="0"/>
              <w:left w:val="single" w:color="auto" w:sz="4" w:space="0"/>
              <w:bottom w:val="single" w:color="auto" w:sz="4" w:space="0"/>
              <w:right w:val="single" w:color="auto" w:sz="4" w:space="0"/>
            </w:tcBorders>
          </w:tcPr>
          <w:p w14:paraId="6E69A2AD">
            <w:pPr>
              <w:widowControl/>
              <w:spacing w:line="360" w:lineRule="auto"/>
              <w:jc w:val="left"/>
              <w:rPr>
                <w:rFonts w:eastAsia="楷体_GB2312"/>
                <w:bCs/>
                <w:szCs w:val="21"/>
                <w:lang w:eastAsia="zh-TW"/>
              </w:rPr>
            </w:pPr>
          </w:p>
        </w:tc>
        <w:tc>
          <w:tcPr>
            <w:tcW w:w="1215" w:type="dxa"/>
            <w:tcBorders>
              <w:top w:val="single" w:color="auto" w:sz="4" w:space="0"/>
              <w:left w:val="single" w:color="auto" w:sz="4" w:space="0"/>
              <w:bottom w:val="single" w:color="auto" w:sz="4" w:space="0"/>
              <w:right w:val="single" w:color="auto" w:sz="4" w:space="0"/>
            </w:tcBorders>
          </w:tcPr>
          <w:p w14:paraId="6592BB36">
            <w:pPr>
              <w:widowControl/>
              <w:spacing w:line="360" w:lineRule="auto"/>
              <w:jc w:val="left"/>
              <w:rPr>
                <w:rFonts w:eastAsia="楷体_GB2312"/>
                <w:bCs/>
                <w:szCs w:val="21"/>
                <w:lang w:eastAsia="zh-TW"/>
              </w:rPr>
            </w:pPr>
          </w:p>
        </w:tc>
      </w:tr>
      <w:tr w14:paraId="0E7130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00" w:type="dxa"/>
            <w:gridSpan w:val="9"/>
            <w:tcBorders>
              <w:top w:val="single" w:color="auto" w:sz="4" w:space="0"/>
              <w:bottom w:val="single" w:color="auto" w:sz="4" w:space="0"/>
            </w:tcBorders>
          </w:tcPr>
          <w:p w14:paraId="2747F43B">
            <w:pPr>
              <w:widowControl/>
              <w:spacing w:line="360" w:lineRule="auto"/>
              <w:jc w:val="left"/>
              <w:rPr>
                <w:rFonts w:eastAsia="楷体_GB2312"/>
                <w:sz w:val="18"/>
                <w:szCs w:val="18"/>
              </w:rPr>
            </w:pPr>
            <w:r>
              <w:rPr>
                <w:rFonts w:eastAsia="楷体_GB2312"/>
                <w:bCs/>
                <w:szCs w:val="21"/>
              </w:rPr>
              <w:t>（五）入池资产借款用途</w:t>
            </w:r>
          </w:p>
        </w:tc>
      </w:tr>
      <w:tr w14:paraId="2F8BC4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27666F37">
            <w:pPr>
              <w:widowControl/>
              <w:spacing w:line="360" w:lineRule="auto"/>
              <w:jc w:val="left"/>
              <w:rPr>
                <w:rFonts w:eastAsia="楷体_GB2312"/>
                <w:sz w:val="24"/>
              </w:rPr>
            </w:pPr>
          </w:p>
        </w:tc>
        <w:tc>
          <w:tcPr>
            <w:tcW w:w="1536" w:type="dxa"/>
            <w:gridSpan w:val="2"/>
            <w:tcBorders>
              <w:top w:val="single" w:color="auto" w:sz="4" w:space="0"/>
              <w:left w:val="single" w:color="auto" w:sz="4" w:space="0"/>
              <w:bottom w:val="single" w:color="auto" w:sz="4" w:space="0"/>
              <w:right w:val="single" w:color="auto" w:sz="4" w:space="0"/>
            </w:tcBorders>
          </w:tcPr>
          <w:p w14:paraId="1FC55432">
            <w:pPr>
              <w:widowControl/>
              <w:spacing w:line="360" w:lineRule="auto"/>
              <w:jc w:val="center"/>
              <w:rPr>
                <w:rFonts w:eastAsia="楷体_GB2312"/>
                <w:b/>
                <w:sz w:val="18"/>
                <w:szCs w:val="18"/>
                <w:lang w:eastAsia="zh-TW"/>
              </w:rPr>
            </w:pPr>
            <w:r>
              <w:rPr>
                <w:rFonts w:eastAsia="楷体_GB2312"/>
                <w:b/>
                <w:sz w:val="18"/>
                <w:szCs w:val="18"/>
                <w:lang w:eastAsia="zh-TW"/>
              </w:rPr>
              <w:t>初始起算日</w:t>
            </w:r>
          </w:p>
        </w:tc>
        <w:tc>
          <w:tcPr>
            <w:tcW w:w="1603" w:type="dxa"/>
            <w:gridSpan w:val="2"/>
            <w:tcBorders>
              <w:top w:val="single" w:color="auto" w:sz="4" w:space="0"/>
              <w:left w:val="single" w:color="auto" w:sz="4" w:space="0"/>
              <w:bottom w:val="single" w:color="auto" w:sz="4" w:space="0"/>
              <w:right w:val="single" w:color="auto" w:sz="4" w:space="0"/>
            </w:tcBorders>
          </w:tcPr>
          <w:p w14:paraId="703BB304">
            <w:pPr>
              <w:widowControl/>
              <w:spacing w:line="360" w:lineRule="auto"/>
              <w:jc w:val="left"/>
              <w:rPr>
                <w:rFonts w:eastAsia="楷体_GB2312"/>
                <w:b/>
                <w:sz w:val="18"/>
                <w:szCs w:val="18"/>
                <w:lang w:eastAsia="zh-TW"/>
              </w:rPr>
            </w:pPr>
            <w:r>
              <w:rPr>
                <w:rFonts w:eastAsia="楷体_GB2312"/>
                <w:b/>
                <w:sz w:val="18"/>
                <w:szCs w:val="18"/>
                <w:lang w:eastAsia="zh-TW"/>
              </w:rPr>
              <w:t>上一期期末</w:t>
            </w:r>
          </w:p>
        </w:tc>
        <w:tc>
          <w:tcPr>
            <w:tcW w:w="2960" w:type="dxa"/>
            <w:gridSpan w:val="3"/>
            <w:tcBorders>
              <w:top w:val="single" w:color="auto" w:sz="4" w:space="0"/>
              <w:left w:val="single" w:color="auto" w:sz="4" w:space="0"/>
              <w:bottom w:val="single" w:color="auto" w:sz="4" w:space="0"/>
            </w:tcBorders>
          </w:tcPr>
          <w:p w14:paraId="3D4F8AC7">
            <w:pPr>
              <w:widowControl/>
              <w:spacing w:line="360" w:lineRule="auto"/>
              <w:jc w:val="left"/>
              <w:rPr>
                <w:rFonts w:eastAsia="楷体_GB2312"/>
                <w:b/>
                <w:sz w:val="18"/>
                <w:szCs w:val="18"/>
                <w:lang w:eastAsia="zh-TW"/>
              </w:rPr>
            </w:pPr>
            <w:r>
              <w:rPr>
                <w:rFonts w:eastAsia="楷体_GB2312"/>
                <w:b/>
                <w:sz w:val="18"/>
                <w:szCs w:val="18"/>
                <w:lang w:eastAsia="zh-TW"/>
              </w:rPr>
              <w:t>本期期末</w:t>
            </w:r>
          </w:p>
        </w:tc>
      </w:tr>
      <w:tr w14:paraId="17254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1FFFD094">
            <w:pPr>
              <w:widowControl/>
              <w:spacing w:line="360" w:lineRule="auto"/>
              <w:jc w:val="left"/>
              <w:rPr>
                <w:rFonts w:eastAsia="楷体_GB2312"/>
                <w:sz w:val="18"/>
                <w:lang w:eastAsia="zh-TW"/>
              </w:rPr>
            </w:pPr>
          </w:p>
        </w:tc>
        <w:tc>
          <w:tcPr>
            <w:tcW w:w="1536" w:type="dxa"/>
            <w:gridSpan w:val="2"/>
            <w:tcBorders>
              <w:top w:val="single" w:color="auto" w:sz="4" w:space="0"/>
              <w:left w:val="single" w:color="auto" w:sz="4" w:space="0"/>
              <w:bottom w:val="single" w:color="auto" w:sz="4" w:space="0"/>
              <w:right w:val="single" w:color="auto" w:sz="4" w:space="0"/>
            </w:tcBorders>
          </w:tcPr>
          <w:p w14:paraId="33F18D91">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54D0B84F">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tcBorders>
          </w:tcPr>
          <w:p w14:paraId="663B9739">
            <w:pPr>
              <w:widowControl/>
              <w:spacing w:line="360" w:lineRule="auto"/>
              <w:jc w:val="left"/>
              <w:rPr>
                <w:rFonts w:eastAsia="楷体_GB2312"/>
                <w:sz w:val="18"/>
                <w:szCs w:val="18"/>
                <w:lang w:eastAsia="zh-TW"/>
              </w:rPr>
            </w:pPr>
          </w:p>
        </w:tc>
      </w:tr>
      <w:tr w14:paraId="2A289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1" w:type="dxa"/>
            <w:gridSpan w:val="2"/>
            <w:tcBorders>
              <w:top w:val="single" w:color="auto" w:sz="4" w:space="0"/>
              <w:bottom w:val="single" w:color="auto" w:sz="4" w:space="0"/>
              <w:right w:val="single" w:color="auto" w:sz="4" w:space="0"/>
            </w:tcBorders>
          </w:tcPr>
          <w:p w14:paraId="0D3FB5CC">
            <w:pPr>
              <w:widowControl/>
              <w:spacing w:line="360" w:lineRule="auto"/>
              <w:jc w:val="left"/>
              <w:rPr>
                <w:rFonts w:eastAsia="楷体_GB2312"/>
                <w:sz w:val="18"/>
                <w:lang w:eastAsia="zh-TW"/>
              </w:rPr>
            </w:pPr>
          </w:p>
        </w:tc>
        <w:tc>
          <w:tcPr>
            <w:tcW w:w="1536" w:type="dxa"/>
            <w:gridSpan w:val="2"/>
            <w:tcBorders>
              <w:top w:val="single" w:color="auto" w:sz="4" w:space="0"/>
              <w:left w:val="single" w:color="auto" w:sz="4" w:space="0"/>
              <w:bottom w:val="single" w:color="auto" w:sz="4" w:space="0"/>
              <w:right w:val="single" w:color="auto" w:sz="4" w:space="0"/>
            </w:tcBorders>
          </w:tcPr>
          <w:p w14:paraId="602E1E09">
            <w:pPr>
              <w:widowControl/>
              <w:spacing w:line="360" w:lineRule="auto"/>
              <w:jc w:val="left"/>
              <w:rPr>
                <w:rFonts w:eastAsia="楷体_GB2312"/>
                <w:sz w:val="18"/>
                <w:szCs w:val="18"/>
                <w:lang w:eastAsia="zh-TW"/>
              </w:rPr>
            </w:pPr>
          </w:p>
        </w:tc>
        <w:tc>
          <w:tcPr>
            <w:tcW w:w="1603" w:type="dxa"/>
            <w:gridSpan w:val="2"/>
            <w:tcBorders>
              <w:top w:val="single" w:color="auto" w:sz="4" w:space="0"/>
              <w:left w:val="single" w:color="auto" w:sz="4" w:space="0"/>
              <w:bottom w:val="single" w:color="auto" w:sz="4" w:space="0"/>
              <w:right w:val="single" w:color="auto" w:sz="4" w:space="0"/>
            </w:tcBorders>
          </w:tcPr>
          <w:p w14:paraId="644331AF">
            <w:pPr>
              <w:widowControl/>
              <w:spacing w:line="360" w:lineRule="auto"/>
              <w:jc w:val="left"/>
              <w:rPr>
                <w:rFonts w:eastAsia="楷体_GB2312"/>
                <w:sz w:val="18"/>
                <w:szCs w:val="18"/>
                <w:lang w:eastAsia="zh-TW"/>
              </w:rPr>
            </w:pPr>
          </w:p>
        </w:tc>
        <w:tc>
          <w:tcPr>
            <w:tcW w:w="2960" w:type="dxa"/>
            <w:gridSpan w:val="3"/>
            <w:tcBorders>
              <w:top w:val="single" w:color="auto" w:sz="4" w:space="0"/>
              <w:left w:val="single" w:color="auto" w:sz="4" w:space="0"/>
              <w:bottom w:val="single" w:color="auto" w:sz="4" w:space="0"/>
            </w:tcBorders>
          </w:tcPr>
          <w:p w14:paraId="00D5EE6E">
            <w:pPr>
              <w:widowControl/>
              <w:spacing w:line="360" w:lineRule="auto"/>
              <w:jc w:val="left"/>
              <w:rPr>
                <w:rFonts w:eastAsia="楷体_GB2312"/>
                <w:sz w:val="18"/>
                <w:szCs w:val="18"/>
                <w:lang w:eastAsia="zh-TW"/>
              </w:rPr>
            </w:pPr>
          </w:p>
        </w:tc>
      </w:tr>
    </w:tbl>
    <w:p w14:paraId="72F55BA7">
      <w:pPr>
        <w:rPr>
          <w:rFonts w:eastAsia="楷体_GB2312"/>
        </w:rPr>
      </w:pPr>
    </w:p>
    <w:p w14:paraId="49CA0F17">
      <w:pPr>
        <w:widowControl/>
        <w:jc w:val="left"/>
        <w:rPr>
          <w:rFonts w:eastAsia="楷体_GB2312"/>
        </w:rPr>
      </w:pPr>
      <w:r>
        <w:rPr>
          <w:rFonts w:eastAsia="楷体_GB2312"/>
        </w:rPr>
        <w:br w:type="page"/>
      </w:r>
    </w:p>
    <w:tbl>
      <w:tblPr>
        <w:tblStyle w:val="27"/>
        <w:tblW w:w="86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1701"/>
        <w:gridCol w:w="1276"/>
        <w:gridCol w:w="1842"/>
        <w:gridCol w:w="1843"/>
      </w:tblGrid>
      <w:tr w14:paraId="28263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67B1B97F">
            <w:pPr>
              <w:widowControl/>
              <w:spacing w:line="360" w:lineRule="auto"/>
              <w:jc w:val="center"/>
              <w:rPr>
                <w:rFonts w:eastAsia="楷体_GB2312"/>
                <w:b/>
                <w:sz w:val="28"/>
              </w:rPr>
            </w:pPr>
            <w:r>
              <w:rPr>
                <w:rFonts w:eastAsia="楷体_GB2312"/>
                <w:b/>
                <w:sz w:val="28"/>
              </w:rPr>
              <w:t>【信托名称】受托机构报告</w:t>
            </w:r>
          </w:p>
        </w:tc>
      </w:tr>
      <w:tr w14:paraId="03DE9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5DF22571">
            <w:pPr>
              <w:widowControl/>
              <w:spacing w:line="360" w:lineRule="auto"/>
              <w:jc w:val="left"/>
              <w:rPr>
                <w:rFonts w:eastAsia="楷体_GB2312"/>
                <w:b/>
                <w:szCs w:val="21"/>
              </w:rPr>
            </w:pPr>
            <w:r>
              <w:rPr>
                <w:rFonts w:eastAsia="楷体_GB2312"/>
                <w:b/>
                <w:szCs w:val="21"/>
              </w:rPr>
              <w:t>五、基础资产存续期分布信息</w:t>
            </w:r>
          </w:p>
          <w:p w14:paraId="2D93382B">
            <w:pPr>
              <w:widowControl/>
              <w:spacing w:line="360" w:lineRule="auto"/>
              <w:jc w:val="left"/>
              <w:rPr>
                <w:rFonts w:eastAsia="楷体_GB2312"/>
                <w:bCs/>
                <w:sz w:val="24"/>
              </w:rPr>
            </w:pPr>
            <w:r>
              <w:rPr>
                <w:rFonts w:eastAsia="楷体_GB2312"/>
                <w:bCs/>
                <w:szCs w:val="21"/>
              </w:rPr>
              <w:t>（一）</w:t>
            </w:r>
            <w:r>
              <w:rPr>
                <w:rFonts w:eastAsia="楷体_GB2312"/>
                <w:szCs w:val="21"/>
              </w:rPr>
              <w:t>未偿本金余额分布</w:t>
            </w:r>
          </w:p>
        </w:tc>
      </w:tr>
      <w:tr w14:paraId="3D78B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0CF2D168">
            <w:pPr>
              <w:widowControl/>
              <w:spacing w:line="360" w:lineRule="auto"/>
              <w:jc w:val="center"/>
              <w:rPr>
                <w:rFonts w:eastAsia="楷体_GB2312"/>
                <w:b/>
              </w:rPr>
            </w:pPr>
            <w:r>
              <w:rPr>
                <w:rFonts w:eastAsia="楷体_GB2312"/>
                <w:b/>
              </w:rPr>
              <w:t>未偿本金余额</w:t>
            </w:r>
          </w:p>
        </w:tc>
        <w:tc>
          <w:tcPr>
            <w:tcW w:w="1701" w:type="dxa"/>
            <w:tcBorders>
              <w:top w:val="single" w:color="auto" w:sz="4" w:space="0"/>
              <w:left w:val="single" w:color="auto" w:sz="4" w:space="0"/>
              <w:bottom w:val="single" w:color="auto" w:sz="4" w:space="0"/>
              <w:right w:val="single" w:color="auto" w:sz="4" w:space="0"/>
            </w:tcBorders>
            <w:vAlign w:val="center"/>
          </w:tcPr>
          <w:p w14:paraId="5A584863">
            <w:pPr>
              <w:widowControl/>
              <w:spacing w:line="360" w:lineRule="auto"/>
              <w:jc w:val="center"/>
              <w:rPr>
                <w:rFonts w:eastAsia="楷体_GB2312"/>
                <w:b/>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07DDF45B">
            <w:pPr>
              <w:widowControl/>
              <w:spacing w:line="360" w:lineRule="auto"/>
              <w:jc w:val="left"/>
              <w:rPr>
                <w:rFonts w:eastAsia="楷体_GB2312"/>
                <w:b/>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68F3FA3C">
            <w:pPr>
              <w:widowControl/>
              <w:spacing w:line="360" w:lineRule="auto"/>
              <w:jc w:val="left"/>
              <w:rPr>
                <w:rFonts w:eastAsia="楷体_GB2312"/>
                <w:b/>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72D3ABF5">
            <w:pPr>
              <w:widowControl/>
              <w:spacing w:line="360" w:lineRule="auto"/>
              <w:jc w:val="left"/>
              <w:rPr>
                <w:rFonts w:eastAsia="楷体_GB2312"/>
                <w:b/>
              </w:rPr>
            </w:pPr>
            <w:r>
              <w:rPr>
                <w:rFonts w:eastAsia="楷体_GB2312"/>
                <w:b/>
                <w:bCs/>
                <w:szCs w:val="21"/>
                <w:lang w:eastAsia="zh-TW"/>
              </w:rPr>
              <w:t>入池金额占比</w:t>
            </w:r>
          </w:p>
        </w:tc>
      </w:tr>
      <w:tr w14:paraId="62729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5C65E78A">
            <w:pPr>
              <w:widowControl/>
              <w:spacing w:line="360" w:lineRule="auto"/>
              <w:jc w:val="center"/>
              <w:rPr>
                <w:rFonts w:eastAsia="楷体_GB2312"/>
                <w:szCs w:val="21"/>
                <w:lang w:eastAsia="zh-TW"/>
              </w:rPr>
            </w:pPr>
            <w:r>
              <w:rPr>
                <w:rFonts w:eastAsia="楷体_GB2312"/>
                <w:szCs w:val="21"/>
                <w:lang w:eastAsia="zh-TW"/>
              </w:rPr>
              <w:t>【</w:t>
            </w:r>
            <w:r>
              <w:rPr>
                <w:rFonts w:eastAsia="楷体_GB2312"/>
                <w:szCs w:val="21"/>
              </w:rPr>
              <w:t xml:space="preserve">  ，  </w:t>
            </w: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4C7079F1">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1202E01B">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135C1F36">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50262552">
            <w:pPr>
              <w:widowControl/>
              <w:spacing w:line="360" w:lineRule="auto"/>
              <w:jc w:val="left"/>
              <w:rPr>
                <w:rFonts w:eastAsia="楷体_GB2312"/>
                <w:sz w:val="18"/>
                <w:szCs w:val="18"/>
                <w:lang w:eastAsia="zh-TW"/>
              </w:rPr>
            </w:pPr>
          </w:p>
        </w:tc>
      </w:tr>
      <w:tr w14:paraId="74642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61498FD2">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5E1F60ED">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74D644AD">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5B15A638">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68969878">
            <w:pPr>
              <w:widowControl/>
              <w:spacing w:line="360" w:lineRule="auto"/>
              <w:jc w:val="left"/>
              <w:rPr>
                <w:rFonts w:eastAsia="楷体_GB2312"/>
                <w:sz w:val="18"/>
                <w:szCs w:val="18"/>
                <w:lang w:eastAsia="zh-TW"/>
              </w:rPr>
            </w:pPr>
          </w:p>
        </w:tc>
      </w:tr>
      <w:tr w14:paraId="1EB7C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Pr>
          <w:p w14:paraId="40B426D8">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5A4311D8">
            <w:pPr>
              <w:widowControl/>
              <w:spacing w:line="360" w:lineRule="auto"/>
              <w:jc w:val="left"/>
              <w:rPr>
                <w:rFonts w:eastAsia="楷体_GB2312"/>
                <w:sz w:val="18"/>
                <w:szCs w:val="18"/>
                <w:lang w:eastAsia="zh-TW"/>
              </w:rPr>
            </w:pPr>
          </w:p>
        </w:tc>
        <w:tc>
          <w:tcPr>
            <w:tcW w:w="1276" w:type="dxa"/>
            <w:tcBorders>
              <w:top w:val="single" w:color="auto" w:sz="4" w:space="0"/>
              <w:left w:val="single" w:color="auto" w:sz="4" w:space="0"/>
              <w:bottom w:val="single" w:color="auto" w:sz="4" w:space="0"/>
              <w:right w:val="single" w:color="auto" w:sz="4" w:space="0"/>
            </w:tcBorders>
          </w:tcPr>
          <w:p w14:paraId="5A108274">
            <w:pPr>
              <w:widowControl/>
              <w:spacing w:line="360" w:lineRule="auto"/>
              <w:jc w:val="left"/>
              <w:rPr>
                <w:rFonts w:eastAsia="楷体_GB2312"/>
                <w:sz w:val="18"/>
                <w:szCs w:val="18"/>
                <w:lang w:eastAsia="zh-TW"/>
              </w:rPr>
            </w:pPr>
          </w:p>
        </w:tc>
        <w:tc>
          <w:tcPr>
            <w:tcW w:w="1842" w:type="dxa"/>
            <w:tcBorders>
              <w:top w:val="single" w:color="auto" w:sz="4" w:space="0"/>
              <w:left w:val="single" w:color="auto" w:sz="4" w:space="0"/>
              <w:bottom w:val="single" w:color="auto" w:sz="4" w:space="0"/>
              <w:right w:val="single" w:color="auto" w:sz="4" w:space="0"/>
            </w:tcBorders>
          </w:tcPr>
          <w:p w14:paraId="46698710">
            <w:pPr>
              <w:widowControl/>
              <w:spacing w:line="360" w:lineRule="auto"/>
              <w:jc w:val="left"/>
              <w:rPr>
                <w:rFonts w:eastAsia="楷体_GB2312"/>
                <w:sz w:val="18"/>
                <w:szCs w:val="18"/>
                <w:lang w:eastAsia="zh-TW"/>
              </w:rPr>
            </w:pPr>
          </w:p>
        </w:tc>
        <w:tc>
          <w:tcPr>
            <w:tcW w:w="1843" w:type="dxa"/>
            <w:tcBorders>
              <w:top w:val="single" w:color="auto" w:sz="4" w:space="0"/>
              <w:left w:val="single" w:color="auto" w:sz="4" w:space="0"/>
              <w:bottom w:val="single" w:color="auto" w:sz="4" w:space="0"/>
              <w:right w:val="single" w:color="auto" w:sz="4" w:space="0"/>
            </w:tcBorders>
          </w:tcPr>
          <w:p w14:paraId="596F525E">
            <w:pPr>
              <w:widowControl/>
              <w:spacing w:line="360" w:lineRule="auto"/>
              <w:jc w:val="left"/>
              <w:rPr>
                <w:rFonts w:eastAsia="楷体_GB2312"/>
                <w:sz w:val="18"/>
                <w:szCs w:val="18"/>
                <w:lang w:eastAsia="zh-TW"/>
              </w:rPr>
            </w:pPr>
          </w:p>
        </w:tc>
      </w:tr>
      <w:tr w14:paraId="37056D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0C410FBD">
            <w:pPr>
              <w:widowControl/>
              <w:spacing w:line="360" w:lineRule="auto"/>
              <w:jc w:val="left"/>
              <w:rPr>
                <w:rFonts w:eastAsia="楷体_GB2312"/>
                <w:sz w:val="18"/>
                <w:szCs w:val="18"/>
              </w:rPr>
            </w:pPr>
            <w:r>
              <w:rPr>
                <w:rFonts w:eastAsia="楷体_GB2312"/>
                <w:szCs w:val="21"/>
              </w:rPr>
              <w:t>（二）贷款五级分类分布</w:t>
            </w:r>
          </w:p>
        </w:tc>
      </w:tr>
      <w:tr w14:paraId="3CA535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6650190B">
            <w:pPr>
              <w:widowControl/>
              <w:spacing w:line="360" w:lineRule="auto"/>
              <w:jc w:val="center"/>
              <w:rPr>
                <w:rFonts w:eastAsia="楷体_GB2312"/>
                <w:b/>
              </w:rPr>
            </w:pPr>
            <w:r>
              <w:rPr>
                <w:rFonts w:eastAsia="楷体_GB2312"/>
                <w:b/>
              </w:rPr>
              <w:t>五级分类</w:t>
            </w:r>
          </w:p>
        </w:tc>
        <w:tc>
          <w:tcPr>
            <w:tcW w:w="1701" w:type="dxa"/>
            <w:tcBorders>
              <w:top w:val="single" w:color="auto" w:sz="4" w:space="0"/>
              <w:left w:val="single" w:color="auto" w:sz="4" w:space="0"/>
              <w:bottom w:val="single" w:color="auto" w:sz="4" w:space="0"/>
              <w:right w:val="single" w:color="auto" w:sz="4" w:space="0"/>
            </w:tcBorders>
            <w:vAlign w:val="center"/>
          </w:tcPr>
          <w:p w14:paraId="29DDA0FA">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36755277">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4DE9692F">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0E7514A2">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45AC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28F63DF8">
            <w:pPr>
              <w:widowControl/>
              <w:spacing w:line="360" w:lineRule="auto"/>
              <w:jc w:val="center"/>
              <w:rPr>
                <w:rFonts w:eastAsia="楷体_GB2312"/>
                <w:szCs w:val="21"/>
                <w:lang w:eastAsia="zh-TW"/>
              </w:rPr>
            </w:pPr>
            <w:r>
              <w:rPr>
                <w:rFonts w:eastAsia="楷体_GB2312"/>
                <w:szCs w:val="21"/>
                <w:lang w:eastAsia="zh-TW"/>
              </w:rPr>
              <w:t>正常类</w:t>
            </w:r>
          </w:p>
        </w:tc>
        <w:tc>
          <w:tcPr>
            <w:tcW w:w="1701" w:type="dxa"/>
            <w:tcBorders>
              <w:top w:val="single" w:color="auto" w:sz="4" w:space="0"/>
              <w:left w:val="single" w:color="auto" w:sz="4" w:space="0"/>
              <w:bottom w:val="single" w:color="auto" w:sz="4" w:space="0"/>
              <w:right w:val="single" w:color="auto" w:sz="4" w:space="0"/>
            </w:tcBorders>
          </w:tcPr>
          <w:p w14:paraId="09B40A2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5AF6DA80">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B295A4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0C787630">
            <w:pPr>
              <w:widowControl/>
              <w:spacing w:line="360" w:lineRule="auto"/>
              <w:jc w:val="center"/>
              <w:rPr>
                <w:rFonts w:eastAsia="楷体_GB2312"/>
                <w:szCs w:val="21"/>
                <w:lang w:eastAsia="zh-TW"/>
              </w:rPr>
            </w:pPr>
          </w:p>
        </w:tc>
      </w:tr>
      <w:tr w14:paraId="580A22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2A41CDAE">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397C53E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71AC31B0">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5FB2C8A">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3FE890DC">
            <w:pPr>
              <w:widowControl/>
              <w:spacing w:line="360" w:lineRule="auto"/>
              <w:jc w:val="center"/>
              <w:rPr>
                <w:rFonts w:eastAsia="楷体_GB2312"/>
                <w:szCs w:val="21"/>
                <w:lang w:eastAsia="zh-TW"/>
              </w:rPr>
            </w:pPr>
          </w:p>
        </w:tc>
      </w:tr>
      <w:tr w14:paraId="1FD9C6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7EC0572">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5499A43B">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253E3FA8">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601CC9CD">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4B769909">
            <w:pPr>
              <w:widowControl/>
              <w:spacing w:line="360" w:lineRule="auto"/>
              <w:jc w:val="center"/>
              <w:rPr>
                <w:rFonts w:eastAsia="楷体_GB2312"/>
                <w:szCs w:val="21"/>
                <w:lang w:eastAsia="zh-TW"/>
              </w:rPr>
            </w:pPr>
          </w:p>
        </w:tc>
      </w:tr>
      <w:tr w14:paraId="387FE4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00AAEE2D">
            <w:pPr>
              <w:widowControl/>
              <w:spacing w:line="360" w:lineRule="auto"/>
              <w:jc w:val="left"/>
              <w:rPr>
                <w:rFonts w:eastAsia="楷体_GB2312"/>
                <w:sz w:val="18"/>
                <w:szCs w:val="18"/>
              </w:rPr>
            </w:pPr>
            <w:r>
              <w:rPr>
                <w:rFonts w:eastAsia="楷体_GB2312"/>
                <w:bCs/>
                <w:szCs w:val="21"/>
              </w:rPr>
              <w:t>（三）贷款利率类型分布</w:t>
            </w:r>
          </w:p>
        </w:tc>
      </w:tr>
      <w:tr w14:paraId="5A743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D7A6080">
            <w:pPr>
              <w:widowControl/>
              <w:spacing w:line="360" w:lineRule="auto"/>
              <w:jc w:val="center"/>
              <w:rPr>
                <w:rFonts w:eastAsia="楷体_GB2312"/>
                <w:b/>
              </w:rPr>
            </w:pPr>
            <w:r>
              <w:rPr>
                <w:rFonts w:eastAsia="楷体_GB2312"/>
                <w:b/>
              </w:rPr>
              <w:t>利率类型</w:t>
            </w:r>
          </w:p>
        </w:tc>
        <w:tc>
          <w:tcPr>
            <w:tcW w:w="1701" w:type="dxa"/>
            <w:tcBorders>
              <w:top w:val="single" w:color="auto" w:sz="4" w:space="0"/>
              <w:left w:val="single" w:color="auto" w:sz="4" w:space="0"/>
              <w:bottom w:val="single" w:color="auto" w:sz="4" w:space="0"/>
              <w:right w:val="single" w:color="auto" w:sz="4" w:space="0"/>
            </w:tcBorders>
            <w:vAlign w:val="center"/>
          </w:tcPr>
          <w:p w14:paraId="7AD4D860">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527DDED3">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41DA198C">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6712E1FB">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75CD03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376F96AE">
            <w:pPr>
              <w:widowControl/>
              <w:spacing w:line="360" w:lineRule="auto"/>
              <w:jc w:val="center"/>
              <w:rPr>
                <w:rFonts w:eastAsia="楷体_GB2312"/>
                <w:szCs w:val="21"/>
                <w:lang w:eastAsia="zh-TW"/>
              </w:rPr>
            </w:pPr>
            <w:r>
              <w:rPr>
                <w:rFonts w:eastAsia="楷体_GB2312"/>
                <w:szCs w:val="21"/>
                <w:lang w:eastAsia="zh-TW"/>
              </w:rPr>
              <w:t>固定利率</w:t>
            </w:r>
          </w:p>
        </w:tc>
        <w:tc>
          <w:tcPr>
            <w:tcW w:w="1701" w:type="dxa"/>
            <w:tcBorders>
              <w:top w:val="single" w:color="auto" w:sz="4" w:space="0"/>
              <w:left w:val="single" w:color="auto" w:sz="4" w:space="0"/>
              <w:bottom w:val="single" w:color="auto" w:sz="4" w:space="0"/>
              <w:right w:val="single" w:color="auto" w:sz="4" w:space="0"/>
            </w:tcBorders>
          </w:tcPr>
          <w:p w14:paraId="4EF45F3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0FF577D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5702D85B">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2332FAD2">
            <w:pPr>
              <w:widowControl/>
              <w:spacing w:line="360" w:lineRule="auto"/>
              <w:jc w:val="center"/>
              <w:rPr>
                <w:rFonts w:eastAsia="楷体_GB2312"/>
                <w:szCs w:val="21"/>
                <w:lang w:eastAsia="zh-TW"/>
              </w:rPr>
            </w:pPr>
          </w:p>
        </w:tc>
      </w:tr>
      <w:tr w14:paraId="46146E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54F950D2">
            <w:pPr>
              <w:widowControl/>
              <w:spacing w:line="360" w:lineRule="auto"/>
              <w:jc w:val="center"/>
              <w:rPr>
                <w:rFonts w:eastAsia="楷体_GB2312"/>
                <w:szCs w:val="21"/>
                <w:lang w:eastAsia="zh-TW"/>
              </w:rPr>
            </w:pPr>
            <w:r>
              <w:rPr>
                <w:rFonts w:eastAsia="楷体_GB2312"/>
                <w:szCs w:val="21"/>
                <w:lang w:eastAsia="zh-TW"/>
              </w:rPr>
              <w:t>浮动利率</w:t>
            </w:r>
          </w:p>
        </w:tc>
        <w:tc>
          <w:tcPr>
            <w:tcW w:w="1701" w:type="dxa"/>
            <w:tcBorders>
              <w:top w:val="single" w:color="auto" w:sz="4" w:space="0"/>
              <w:left w:val="single" w:color="auto" w:sz="4" w:space="0"/>
              <w:bottom w:val="single" w:color="auto" w:sz="4" w:space="0"/>
              <w:right w:val="single" w:color="auto" w:sz="4" w:space="0"/>
            </w:tcBorders>
          </w:tcPr>
          <w:p w14:paraId="7B9E741C">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08D93EA0">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11443BB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01B2DEA7">
            <w:pPr>
              <w:widowControl/>
              <w:spacing w:line="360" w:lineRule="auto"/>
              <w:jc w:val="center"/>
              <w:rPr>
                <w:rFonts w:eastAsia="楷体_GB2312"/>
                <w:szCs w:val="21"/>
                <w:lang w:eastAsia="zh-TW"/>
              </w:rPr>
            </w:pPr>
          </w:p>
        </w:tc>
      </w:tr>
      <w:tr w14:paraId="261660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8F26383">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25E05848">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2AA784C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79D3F6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669610FB">
            <w:pPr>
              <w:widowControl/>
              <w:spacing w:line="360" w:lineRule="auto"/>
              <w:jc w:val="center"/>
              <w:rPr>
                <w:rFonts w:eastAsia="楷体_GB2312"/>
                <w:szCs w:val="21"/>
                <w:lang w:eastAsia="zh-TW"/>
              </w:rPr>
            </w:pPr>
          </w:p>
        </w:tc>
      </w:tr>
      <w:tr w14:paraId="79DA0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left w:val="single" w:color="auto" w:sz="4" w:space="0"/>
              <w:bottom w:val="single" w:color="auto" w:sz="4" w:space="0"/>
              <w:right w:val="single" w:color="auto" w:sz="4" w:space="0"/>
            </w:tcBorders>
          </w:tcPr>
          <w:p w14:paraId="438C565D">
            <w:pPr>
              <w:widowControl/>
              <w:spacing w:line="360" w:lineRule="auto"/>
              <w:jc w:val="left"/>
              <w:rPr>
                <w:rFonts w:eastAsia="楷体_GB2312"/>
                <w:sz w:val="18"/>
                <w:szCs w:val="18"/>
                <w:lang w:eastAsia="zh-TW"/>
              </w:rPr>
            </w:pPr>
            <w:r>
              <w:rPr>
                <w:rFonts w:eastAsia="楷体_GB2312"/>
                <w:bCs/>
                <w:szCs w:val="21"/>
                <w:lang w:eastAsia="zh-TW"/>
              </w:rPr>
              <w:t>（</w:t>
            </w:r>
            <w:r>
              <w:rPr>
                <w:rFonts w:eastAsia="楷体_GB2312"/>
                <w:bCs/>
                <w:szCs w:val="21"/>
              </w:rPr>
              <w:t>四</w:t>
            </w:r>
            <w:r>
              <w:rPr>
                <w:rFonts w:eastAsia="楷体_GB2312"/>
                <w:bCs/>
                <w:szCs w:val="21"/>
                <w:lang w:eastAsia="zh-TW"/>
              </w:rPr>
              <w:t>）贷款利率分布</w:t>
            </w:r>
          </w:p>
        </w:tc>
      </w:tr>
      <w:tr w14:paraId="55E54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3C971478">
            <w:pPr>
              <w:widowControl/>
              <w:spacing w:line="360" w:lineRule="auto"/>
              <w:jc w:val="center"/>
              <w:rPr>
                <w:rFonts w:eastAsia="楷体_GB2312"/>
                <w:b/>
              </w:rPr>
            </w:pPr>
            <w:r>
              <w:rPr>
                <w:rFonts w:eastAsia="楷体_GB2312"/>
                <w:b/>
                <w:bCs/>
                <w:szCs w:val="21"/>
                <w:lang w:eastAsia="zh-TW"/>
              </w:rPr>
              <w:t>利率</w:t>
            </w:r>
          </w:p>
        </w:tc>
        <w:tc>
          <w:tcPr>
            <w:tcW w:w="1701" w:type="dxa"/>
            <w:tcBorders>
              <w:top w:val="single" w:color="auto" w:sz="4" w:space="0"/>
              <w:left w:val="single" w:color="auto" w:sz="4" w:space="0"/>
              <w:bottom w:val="single" w:color="auto" w:sz="4" w:space="0"/>
              <w:right w:val="single" w:color="auto" w:sz="4" w:space="0"/>
            </w:tcBorders>
            <w:vAlign w:val="center"/>
          </w:tcPr>
          <w:p w14:paraId="0AF91B89">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11A20561">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0FB50CF8">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right w:val="single" w:color="auto" w:sz="4" w:space="0"/>
            </w:tcBorders>
            <w:vAlign w:val="center"/>
          </w:tcPr>
          <w:p w14:paraId="2FBF3872">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C78D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58475625">
            <w:pPr>
              <w:widowControl/>
              <w:spacing w:line="360" w:lineRule="auto"/>
              <w:jc w:val="center"/>
              <w:rPr>
                <w:rFonts w:eastAsia="楷体_GB2312"/>
                <w:szCs w:val="21"/>
                <w:lang w:eastAsia="zh-TW"/>
              </w:rPr>
            </w:pPr>
            <w:r>
              <w:rPr>
                <w:rFonts w:eastAsia="楷体_GB2312"/>
                <w:szCs w:val="21"/>
                <w:lang w:eastAsia="zh-TW"/>
              </w:rPr>
              <w:t>【  ,  】</w:t>
            </w:r>
          </w:p>
        </w:tc>
        <w:tc>
          <w:tcPr>
            <w:tcW w:w="1701" w:type="dxa"/>
            <w:tcBorders>
              <w:top w:val="single" w:color="auto" w:sz="4" w:space="0"/>
              <w:left w:val="single" w:color="auto" w:sz="4" w:space="0"/>
              <w:bottom w:val="single" w:color="auto" w:sz="4" w:space="0"/>
              <w:right w:val="single" w:color="auto" w:sz="4" w:space="0"/>
            </w:tcBorders>
          </w:tcPr>
          <w:p w14:paraId="43C0B869">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536F6E5B">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4E98D9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3EE90530">
            <w:pPr>
              <w:widowControl/>
              <w:spacing w:line="360" w:lineRule="auto"/>
              <w:jc w:val="center"/>
              <w:rPr>
                <w:rFonts w:eastAsia="楷体_GB2312"/>
                <w:szCs w:val="21"/>
                <w:lang w:eastAsia="zh-TW"/>
              </w:rPr>
            </w:pPr>
          </w:p>
        </w:tc>
      </w:tr>
      <w:tr w14:paraId="111D27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12377206">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741DF99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3CFDE709">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395066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372492B6">
            <w:pPr>
              <w:widowControl/>
              <w:spacing w:line="360" w:lineRule="auto"/>
              <w:jc w:val="center"/>
              <w:rPr>
                <w:rFonts w:eastAsia="楷体_GB2312"/>
                <w:szCs w:val="21"/>
                <w:lang w:eastAsia="zh-TW"/>
              </w:rPr>
            </w:pPr>
          </w:p>
        </w:tc>
      </w:tr>
      <w:tr w14:paraId="2F742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vAlign w:val="center"/>
          </w:tcPr>
          <w:p w14:paraId="268371D1">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1BB222B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1BEB6EE6">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320A36E9">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right w:val="single" w:color="auto" w:sz="4" w:space="0"/>
            </w:tcBorders>
          </w:tcPr>
          <w:p w14:paraId="4CE95BD1">
            <w:pPr>
              <w:widowControl/>
              <w:spacing w:line="360" w:lineRule="auto"/>
              <w:jc w:val="center"/>
              <w:rPr>
                <w:rFonts w:eastAsia="楷体_GB2312"/>
                <w:szCs w:val="21"/>
                <w:lang w:eastAsia="zh-TW"/>
              </w:rPr>
            </w:pPr>
          </w:p>
        </w:tc>
      </w:tr>
      <w:tr w14:paraId="02592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16D19BF8">
            <w:pPr>
              <w:widowControl/>
              <w:spacing w:line="360" w:lineRule="auto"/>
              <w:jc w:val="left"/>
              <w:rPr>
                <w:rFonts w:eastAsia="楷体_GB2312"/>
                <w:sz w:val="18"/>
                <w:szCs w:val="18"/>
                <w:lang w:eastAsia="zh-TW"/>
              </w:rPr>
            </w:pPr>
            <w:r>
              <w:rPr>
                <w:rFonts w:eastAsia="楷体_GB2312"/>
                <w:bCs/>
                <w:szCs w:val="21"/>
                <w:lang w:eastAsia="zh-TW"/>
              </w:rPr>
              <w:t>（</w:t>
            </w:r>
            <w:r>
              <w:rPr>
                <w:rFonts w:eastAsia="楷体_GB2312"/>
                <w:bCs/>
                <w:szCs w:val="21"/>
              </w:rPr>
              <w:t>五</w:t>
            </w:r>
            <w:r>
              <w:rPr>
                <w:rFonts w:eastAsia="楷体_GB2312"/>
                <w:bCs/>
                <w:szCs w:val="21"/>
                <w:lang w:eastAsia="zh-TW"/>
              </w:rPr>
              <w:t>）担保情况分布</w:t>
            </w:r>
          </w:p>
        </w:tc>
      </w:tr>
      <w:tr w14:paraId="0000E2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112BA18">
            <w:pPr>
              <w:widowControl/>
              <w:spacing w:line="360" w:lineRule="auto"/>
              <w:jc w:val="center"/>
              <w:rPr>
                <w:rFonts w:eastAsia="楷体_GB2312"/>
                <w:b/>
              </w:rPr>
            </w:pPr>
            <w:r>
              <w:rPr>
                <w:rFonts w:eastAsia="楷体_GB2312"/>
                <w:b/>
              </w:rPr>
              <w:t>担保情况</w:t>
            </w:r>
          </w:p>
        </w:tc>
        <w:tc>
          <w:tcPr>
            <w:tcW w:w="1701" w:type="dxa"/>
            <w:tcBorders>
              <w:top w:val="single" w:color="auto" w:sz="4" w:space="0"/>
              <w:left w:val="single" w:color="auto" w:sz="4" w:space="0"/>
              <w:bottom w:val="single" w:color="auto" w:sz="4" w:space="0"/>
              <w:right w:val="single" w:color="auto" w:sz="4" w:space="0"/>
            </w:tcBorders>
            <w:vAlign w:val="center"/>
          </w:tcPr>
          <w:p w14:paraId="3679EF22">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ED7AF9C">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378DFB8">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3F2B6CFC">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1F226B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3D0D8C36">
            <w:pPr>
              <w:widowControl/>
              <w:spacing w:line="360" w:lineRule="auto"/>
              <w:jc w:val="center"/>
              <w:rPr>
                <w:rFonts w:eastAsia="楷体_GB2312"/>
                <w:szCs w:val="21"/>
                <w:lang w:eastAsia="zh-TW"/>
              </w:rPr>
            </w:pPr>
            <w:r>
              <w:rPr>
                <w:rFonts w:eastAsia="楷体_GB2312"/>
                <w:szCs w:val="21"/>
                <w:lang w:eastAsia="zh-TW"/>
              </w:rPr>
              <w:t>信用贷款</w:t>
            </w:r>
          </w:p>
        </w:tc>
        <w:tc>
          <w:tcPr>
            <w:tcW w:w="1701" w:type="dxa"/>
            <w:tcBorders>
              <w:top w:val="single" w:color="auto" w:sz="4" w:space="0"/>
              <w:left w:val="single" w:color="auto" w:sz="4" w:space="0"/>
              <w:bottom w:val="single" w:color="auto" w:sz="4" w:space="0"/>
              <w:right w:val="single" w:color="auto" w:sz="4" w:space="0"/>
            </w:tcBorders>
          </w:tcPr>
          <w:p w14:paraId="4BC8DAB8">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737BAA12">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6A385D9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0F6B36CF">
            <w:pPr>
              <w:widowControl/>
              <w:spacing w:line="360" w:lineRule="auto"/>
              <w:jc w:val="center"/>
              <w:rPr>
                <w:rFonts w:eastAsia="楷体_GB2312"/>
                <w:szCs w:val="21"/>
                <w:lang w:eastAsia="zh-TW"/>
              </w:rPr>
            </w:pPr>
          </w:p>
        </w:tc>
      </w:tr>
      <w:tr w14:paraId="24187A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0685F871">
            <w:pPr>
              <w:widowControl/>
              <w:spacing w:line="360" w:lineRule="auto"/>
              <w:jc w:val="center"/>
              <w:rPr>
                <w:rFonts w:eastAsia="楷体_GB2312"/>
                <w:szCs w:val="21"/>
                <w:lang w:eastAsia="zh-TW"/>
              </w:rPr>
            </w:pPr>
            <w:r>
              <w:rPr>
                <w:rFonts w:eastAsia="楷体_GB2312"/>
                <w:szCs w:val="21"/>
                <w:lang w:eastAsia="zh-TW"/>
              </w:rPr>
              <w:t>抵押</w:t>
            </w:r>
            <w:r>
              <w:rPr>
                <w:rFonts w:eastAsia="楷体_GB2312"/>
                <w:szCs w:val="21"/>
              </w:rPr>
              <w:t>/质押/保证</w:t>
            </w:r>
            <w:r>
              <w:rPr>
                <w:rFonts w:eastAsia="楷体_GB2312"/>
                <w:szCs w:val="21"/>
                <w:lang w:eastAsia="zh-TW"/>
              </w:rPr>
              <w:t>贷款</w:t>
            </w:r>
          </w:p>
        </w:tc>
        <w:tc>
          <w:tcPr>
            <w:tcW w:w="1701" w:type="dxa"/>
            <w:tcBorders>
              <w:top w:val="single" w:color="auto" w:sz="4" w:space="0"/>
              <w:left w:val="single" w:color="auto" w:sz="4" w:space="0"/>
              <w:bottom w:val="single" w:color="auto" w:sz="4" w:space="0"/>
              <w:right w:val="single" w:color="auto" w:sz="4" w:space="0"/>
            </w:tcBorders>
          </w:tcPr>
          <w:p w14:paraId="5C98BB33">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6A527D8C">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79A764E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25D62A10">
            <w:pPr>
              <w:widowControl/>
              <w:spacing w:line="360" w:lineRule="auto"/>
              <w:jc w:val="center"/>
              <w:rPr>
                <w:rFonts w:eastAsia="楷体_GB2312"/>
                <w:szCs w:val="21"/>
                <w:lang w:eastAsia="zh-TW"/>
              </w:rPr>
            </w:pPr>
          </w:p>
        </w:tc>
      </w:tr>
      <w:tr w14:paraId="6D60D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tcPr>
          <w:p w14:paraId="5A190203">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0C6F1AB7">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1D6087F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1B4DE6E1">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tcPr>
          <w:p w14:paraId="169F03C8">
            <w:pPr>
              <w:widowControl/>
              <w:spacing w:line="360" w:lineRule="auto"/>
              <w:jc w:val="center"/>
              <w:rPr>
                <w:rFonts w:eastAsia="楷体_GB2312"/>
                <w:szCs w:val="21"/>
                <w:lang w:eastAsia="zh-TW"/>
              </w:rPr>
            </w:pPr>
          </w:p>
        </w:tc>
      </w:tr>
      <w:tr w14:paraId="47583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367526A4">
            <w:pPr>
              <w:widowControl/>
              <w:spacing w:line="360" w:lineRule="auto"/>
              <w:jc w:val="left"/>
              <w:rPr>
                <w:rFonts w:eastAsia="楷体_GB2312"/>
                <w:szCs w:val="21"/>
                <w:lang w:eastAsia="zh-TW"/>
              </w:rPr>
            </w:pPr>
            <w:r>
              <w:rPr>
                <w:rFonts w:eastAsia="楷体_GB2312"/>
                <w:szCs w:val="21"/>
                <w:lang w:eastAsia="zh-TW"/>
              </w:rPr>
              <w:t>（</w:t>
            </w:r>
            <w:r>
              <w:rPr>
                <w:rFonts w:eastAsia="楷体_GB2312"/>
                <w:szCs w:val="21"/>
              </w:rPr>
              <w:t>六</w:t>
            </w:r>
            <w:r>
              <w:rPr>
                <w:rFonts w:eastAsia="楷体_GB2312"/>
                <w:szCs w:val="21"/>
                <w:lang w:eastAsia="zh-TW"/>
              </w:rPr>
              <w:t>）借款合同期限分布</w:t>
            </w:r>
          </w:p>
        </w:tc>
      </w:tr>
      <w:tr w14:paraId="318CC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1F5F445F">
            <w:pPr>
              <w:widowControl/>
              <w:spacing w:line="360" w:lineRule="auto"/>
              <w:jc w:val="center"/>
              <w:rPr>
                <w:rFonts w:eastAsia="楷体_GB2312"/>
                <w:b/>
              </w:rPr>
            </w:pPr>
            <w:r>
              <w:rPr>
                <w:rFonts w:eastAsia="楷体_GB2312"/>
                <w:b/>
                <w:bCs/>
                <w:szCs w:val="21"/>
                <w:lang w:eastAsia="zh-TW"/>
              </w:rPr>
              <w:t>期限</w:t>
            </w:r>
          </w:p>
        </w:tc>
        <w:tc>
          <w:tcPr>
            <w:tcW w:w="1701" w:type="dxa"/>
            <w:tcBorders>
              <w:top w:val="single" w:color="auto" w:sz="4" w:space="0"/>
              <w:left w:val="single" w:color="auto" w:sz="4" w:space="0"/>
              <w:bottom w:val="single" w:color="auto" w:sz="4" w:space="0"/>
              <w:right w:val="single" w:color="auto" w:sz="4" w:space="0"/>
            </w:tcBorders>
            <w:vAlign w:val="center"/>
          </w:tcPr>
          <w:p w14:paraId="24CEBE84">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A6F84CD">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134684D1">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1361FF53">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28839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176171D">
            <w:pPr>
              <w:widowControl/>
              <w:spacing w:line="360" w:lineRule="auto"/>
              <w:jc w:val="center"/>
              <w:rPr>
                <w:rFonts w:eastAsia="楷体_GB2312"/>
                <w:b/>
                <w:bCs/>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tcPr>
          <w:p w14:paraId="2A6152A2">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72ABD2F0">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4C82E78">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4EAB9BC4">
            <w:pPr>
              <w:widowControl/>
              <w:spacing w:line="360" w:lineRule="auto"/>
              <w:jc w:val="center"/>
              <w:rPr>
                <w:rFonts w:eastAsia="楷体_GB2312"/>
                <w:b/>
                <w:bCs/>
                <w:szCs w:val="21"/>
                <w:lang w:eastAsia="zh-TW"/>
              </w:rPr>
            </w:pPr>
          </w:p>
        </w:tc>
      </w:tr>
      <w:tr w14:paraId="27E31F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B3D2630">
            <w:pPr>
              <w:widowControl/>
              <w:spacing w:line="360" w:lineRule="auto"/>
              <w:jc w:val="center"/>
              <w:rPr>
                <w:rFonts w:eastAsia="楷体_GB2312"/>
                <w:b/>
                <w:bCs/>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tcPr>
          <w:p w14:paraId="53EEF8F8">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11D233C3">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4818885F">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703477C1">
            <w:pPr>
              <w:widowControl/>
              <w:spacing w:line="360" w:lineRule="auto"/>
              <w:jc w:val="center"/>
              <w:rPr>
                <w:rFonts w:eastAsia="楷体_GB2312"/>
                <w:b/>
                <w:bCs/>
                <w:szCs w:val="21"/>
                <w:lang w:eastAsia="zh-TW"/>
              </w:rPr>
            </w:pPr>
          </w:p>
        </w:tc>
      </w:tr>
      <w:tr w14:paraId="1BA56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F45CD4F">
            <w:pPr>
              <w:widowControl/>
              <w:spacing w:line="360" w:lineRule="auto"/>
              <w:jc w:val="center"/>
              <w:rPr>
                <w:rFonts w:eastAsia="楷体_GB2312"/>
                <w:b/>
                <w:bCs/>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tcPr>
          <w:p w14:paraId="43E23142">
            <w:pPr>
              <w:widowControl/>
              <w:spacing w:line="360" w:lineRule="auto"/>
              <w:jc w:val="center"/>
              <w:rPr>
                <w:rFonts w:eastAsia="楷体_GB2312"/>
                <w:b/>
                <w:bCs/>
                <w:szCs w:val="21"/>
                <w:lang w:eastAsia="zh-TW"/>
              </w:rPr>
            </w:pPr>
          </w:p>
        </w:tc>
        <w:tc>
          <w:tcPr>
            <w:tcW w:w="1276" w:type="dxa"/>
            <w:tcBorders>
              <w:top w:val="single" w:color="auto" w:sz="4" w:space="0"/>
              <w:left w:val="single" w:color="auto" w:sz="4" w:space="0"/>
              <w:bottom w:val="single" w:color="auto" w:sz="4" w:space="0"/>
              <w:right w:val="single" w:color="auto" w:sz="4" w:space="0"/>
            </w:tcBorders>
          </w:tcPr>
          <w:p w14:paraId="5788777C">
            <w:pPr>
              <w:widowControl/>
              <w:spacing w:line="360" w:lineRule="auto"/>
              <w:jc w:val="center"/>
              <w:rPr>
                <w:rFonts w:eastAsia="楷体_GB2312"/>
                <w:b/>
                <w:bCs/>
                <w:szCs w:val="21"/>
                <w:lang w:eastAsia="zh-TW"/>
              </w:rPr>
            </w:pPr>
          </w:p>
        </w:tc>
        <w:tc>
          <w:tcPr>
            <w:tcW w:w="1842" w:type="dxa"/>
            <w:tcBorders>
              <w:top w:val="single" w:color="auto" w:sz="4" w:space="0"/>
              <w:left w:val="single" w:color="auto" w:sz="4" w:space="0"/>
              <w:bottom w:val="single" w:color="auto" w:sz="4" w:space="0"/>
              <w:right w:val="single" w:color="auto" w:sz="4" w:space="0"/>
            </w:tcBorders>
          </w:tcPr>
          <w:p w14:paraId="295CA6F7">
            <w:pPr>
              <w:widowControl/>
              <w:spacing w:line="360" w:lineRule="auto"/>
              <w:jc w:val="center"/>
              <w:rPr>
                <w:rFonts w:eastAsia="楷体_GB2312"/>
                <w:b/>
                <w:bCs/>
                <w:szCs w:val="21"/>
                <w:lang w:eastAsia="zh-TW"/>
              </w:rPr>
            </w:pPr>
          </w:p>
        </w:tc>
        <w:tc>
          <w:tcPr>
            <w:tcW w:w="1843" w:type="dxa"/>
            <w:tcBorders>
              <w:top w:val="single" w:color="auto" w:sz="4" w:space="0"/>
              <w:left w:val="single" w:color="auto" w:sz="4" w:space="0"/>
              <w:bottom w:val="single" w:color="auto" w:sz="4" w:space="0"/>
            </w:tcBorders>
          </w:tcPr>
          <w:p w14:paraId="627E202E">
            <w:pPr>
              <w:widowControl/>
              <w:spacing w:line="360" w:lineRule="auto"/>
              <w:jc w:val="center"/>
              <w:rPr>
                <w:rFonts w:eastAsia="楷体_GB2312"/>
                <w:b/>
                <w:bCs/>
                <w:szCs w:val="21"/>
                <w:lang w:eastAsia="zh-TW"/>
              </w:rPr>
            </w:pPr>
          </w:p>
        </w:tc>
      </w:tr>
      <w:tr w14:paraId="20B48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tcPr>
          <w:p w14:paraId="332EAD20">
            <w:pPr>
              <w:widowControl/>
              <w:spacing w:line="360" w:lineRule="auto"/>
              <w:rPr>
                <w:rFonts w:eastAsia="楷体_GB2312"/>
                <w:szCs w:val="21"/>
                <w:lang w:eastAsia="zh-TW"/>
              </w:rPr>
            </w:pPr>
            <w:r>
              <w:rPr>
                <w:rFonts w:eastAsia="楷体_GB2312"/>
                <w:szCs w:val="21"/>
                <w:lang w:eastAsia="zh-TW"/>
              </w:rPr>
              <w:t>（</w:t>
            </w:r>
            <w:r>
              <w:rPr>
                <w:rFonts w:eastAsia="楷体_GB2312"/>
                <w:szCs w:val="21"/>
              </w:rPr>
              <w:t>七</w:t>
            </w:r>
            <w:r>
              <w:rPr>
                <w:rFonts w:eastAsia="楷体_GB2312"/>
                <w:szCs w:val="21"/>
                <w:lang w:eastAsia="zh-TW"/>
              </w:rPr>
              <w:t>）贷款账龄分布</w:t>
            </w:r>
          </w:p>
        </w:tc>
      </w:tr>
      <w:tr w14:paraId="73DCE2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89DBECE">
            <w:pPr>
              <w:widowControl/>
              <w:spacing w:line="360" w:lineRule="auto"/>
              <w:jc w:val="center"/>
              <w:rPr>
                <w:rFonts w:eastAsia="楷体_GB2312"/>
                <w:b/>
                <w:bCs/>
                <w:szCs w:val="21"/>
                <w:lang w:eastAsia="zh-TW"/>
              </w:rPr>
            </w:pPr>
            <w:r>
              <w:rPr>
                <w:rFonts w:eastAsia="楷体_GB2312"/>
                <w:b/>
                <w:bCs/>
                <w:szCs w:val="21"/>
                <w:lang w:eastAsia="zh-TW"/>
              </w:rPr>
              <w:t>账龄</w:t>
            </w:r>
          </w:p>
        </w:tc>
        <w:tc>
          <w:tcPr>
            <w:tcW w:w="1701" w:type="dxa"/>
            <w:tcBorders>
              <w:top w:val="single" w:color="auto" w:sz="4" w:space="0"/>
              <w:left w:val="single" w:color="auto" w:sz="4" w:space="0"/>
              <w:bottom w:val="single" w:color="auto" w:sz="4" w:space="0"/>
              <w:right w:val="single" w:color="auto" w:sz="4" w:space="0"/>
            </w:tcBorders>
            <w:vAlign w:val="center"/>
          </w:tcPr>
          <w:p w14:paraId="66ADC963">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3413D207">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776D2211">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30C0E9FA">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273497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BF4C6A7">
            <w:pPr>
              <w:widowControl/>
              <w:spacing w:line="360" w:lineRule="auto"/>
              <w:jc w:val="center"/>
              <w:rPr>
                <w:rFonts w:eastAsia="楷体_GB2312"/>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vAlign w:val="center"/>
          </w:tcPr>
          <w:p w14:paraId="7875F744">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09BDC9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566B8F69">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7698C34">
            <w:pPr>
              <w:widowControl/>
              <w:spacing w:line="360" w:lineRule="auto"/>
              <w:jc w:val="center"/>
              <w:rPr>
                <w:rFonts w:eastAsia="楷体_GB2312"/>
                <w:szCs w:val="21"/>
                <w:lang w:eastAsia="zh-TW"/>
              </w:rPr>
            </w:pPr>
          </w:p>
        </w:tc>
      </w:tr>
      <w:tr w14:paraId="74E67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7AAF01C">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63CA211C">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C651F30">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E6A637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427746DE">
            <w:pPr>
              <w:widowControl/>
              <w:spacing w:line="360" w:lineRule="auto"/>
              <w:jc w:val="center"/>
              <w:rPr>
                <w:rFonts w:eastAsia="楷体_GB2312"/>
                <w:szCs w:val="21"/>
                <w:lang w:eastAsia="zh-TW"/>
              </w:rPr>
            </w:pPr>
          </w:p>
        </w:tc>
      </w:tr>
      <w:tr w14:paraId="15F3C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949E45F">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32CADD2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B93672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50E832C8">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6F0FBAB">
            <w:pPr>
              <w:widowControl/>
              <w:spacing w:line="360" w:lineRule="auto"/>
              <w:jc w:val="center"/>
              <w:rPr>
                <w:rFonts w:eastAsia="楷体_GB2312"/>
                <w:szCs w:val="21"/>
                <w:lang w:eastAsia="zh-TW"/>
              </w:rPr>
            </w:pPr>
          </w:p>
        </w:tc>
      </w:tr>
      <w:tr w14:paraId="5A8DCF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442F02DE">
            <w:pPr>
              <w:widowControl/>
              <w:spacing w:line="360" w:lineRule="auto"/>
              <w:rPr>
                <w:rFonts w:eastAsia="楷体_GB2312"/>
                <w:szCs w:val="21"/>
              </w:rPr>
            </w:pPr>
            <w:r>
              <w:rPr>
                <w:rFonts w:eastAsia="楷体_GB2312"/>
                <w:szCs w:val="21"/>
              </w:rPr>
              <w:t>（八）贷款剩余期限分布</w:t>
            </w:r>
          </w:p>
        </w:tc>
      </w:tr>
      <w:tr w14:paraId="1807E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D66B437">
            <w:pPr>
              <w:widowControl/>
              <w:spacing w:line="360" w:lineRule="auto"/>
              <w:jc w:val="center"/>
              <w:rPr>
                <w:rFonts w:eastAsia="楷体_GB2312"/>
                <w:b/>
                <w:bCs/>
                <w:szCs w:val="21"/>
                <w:lang w:eastAsia="zh-TW"/>
              </w:rPr>
            </w:pPr>
            <w:r>
              <w:rPr>
                <w:rFonts w:eastAsia="楷体_GB2312"/>
                <w:b/>
                <w:bCs/>
                <w:szCs w:val="21"/>
                <w:lang w:eastAsia="zh-TW"/>
              </w:rPr>
              <w:t>剩余期限</w:t>
            </w:r>
          </w:p>
        </w:tc>
        <w:tc>
          <w:tcPr>
            <w:tcW w:w="1701" w:type="dxa"/>
            <w:tcBorders>
              <w:top w:val="single" w:color="auto" w:sz="4" w:space="0"/>
              <w:left w:val="single" w:color="auto" w:sz="4" w:space="0"/>
              <w:bottom w:val="single" w:color="auto" w:sz="4" w:space="0"/>
              <w:right w:val="single" w:color="auto" w:sz="4" w:space="0"/>
            </w:tcBorders>
            <w:vAlign w:val="center"/>
          </w:tcPr>
          <w:p w14:paraId="381C6AD0">
            <w:pPr>
              <w:widowControl/>
              <w:spacing w:line="360" w:lineRule="auto"/>
              <w:jc w:val="center"/>
              <w:rPr>
                <w:rFonts w:eastAsia="楷体_GB2312"/>
                <w:b/>
                <w:bCs/>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353A7652">
            <w:pPr>
              <w:widowControl/>
              <w:spacing w:line="360" w:lineRule="auto"/>
              <w:jc w:val="center"/>
              <w:rPr>
                <w:rFonts w:eastAsia="楷体_GB2312"/>
                <w:b/>
                <w:bCs/>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1ED9E994">
            <w:pPr>
              <w:widowControl/>
              <w:spacing w:line="360" w:lineRule="auto"/>
              <w:jc w:val="center"/>
              <w:rPr>
                <w:rFonts w:eastAsia="楷体_GB2312"/>
                <w:b/>
                <w:bCs/>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28E298AD">
            <w:pPr>
              <w:widowControl/>
              <w:spacing w:line="360" w:lineRule="auto"/>
              <w:jc w:val="center"/>
              <w:rPr>
                <w:rFonts w:eastAsia="楷体_GB2312"/>
                <w:b/>
                <w:bCs/>
                <w:szCs w:val="21"/>
                <w:lang w:eastAsia="zh-TW"/>
              </w:rPr>
            </w:pPr>
            <w:r>
              <w:rPr>
                <w:rFonts w:eastAsia="楷体_GB2312"/>
                <w:b/>
                <w:bCs/>
                <w:szCs w:val="21"/>
                <w:lang w:eastAsia="zh-TW"/>
              </w:rPr>
              <w:t>入池金额占比</w:t>
            </w:r>
          </w:p>
        </w:tc>
      </w:tr>
      <w:tr w14:paraId="08737A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2B77AA9">
            <w:pPr>
              <w:widowControl/>
              <w:spacing w:line="360" w:lineRule="auto"/>
              <w:jc w:val="center"/>
              <w:rPr>
                <w:rFonts w:eastAsia="楷体_GB2312"/>
                <w:szCs w:val="21"/>
                <w:lang w:eastAsia="zh-TW"/>
              </w:rPr>
            </w:pPr>
            <w:r>
              <w:rPr>
                <w:rFonts w:eastAsia="楷体_GB2312"/>
                <w:szCs w:val="21"/>
                <w:lang w:eastAsia="zh-TW"/>
              </w:rPr>
              <w:t>(0,12]</w:t>
            </w:r>
          </w:p>
        </w:tc>
        <w:tc>
          <w:tcPr>
            <w:tcW w:w="1701" w:type="dxa"/>
            <w:tcBorders>
              <w:top w:val="single" w:color="auto" w:sz="4" w:space="0"/>
              <w:left w:val="single" w:color="auto" w:sz="4" w:space="0"/>
              <w:bottom w:val="single" w:color="auto" w:sz="4" w:space="0"/>
              <w:right w:val="single" w:color="auto" w:sz="4" w:space="0"/>
            </w:tcBorders>
            <w:vAlign w:val="center"/>
          </w:tcPr>
          <w:p w14:paraId="53E95CB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A95CE17">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0102665">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69DA298">
            <w:pPr>
              <w:widowControl/>
              <w:spacing w:line="360" w:lineRule="auto"/>
              <w:jc w:val="center"/>
              <w:rPr>
                <w:rFonts w:eastAsia="楷体_GB2312"/>
                <w:szCs w:val="21"/>
                <w:lang w:eastAsia="zh-TW"/>
              </w:rPr>
            </w:pPr>
          </w:p>
        </w:tc>
      </w:tr>
      <w:tr w14:paraId="7ABEBA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11C81EE">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4DB1742E">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BC2F80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71B307C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C3E3D33">
            <w:pPr>
              <w:widowControl/>
              <w:spacing w:line="360" w:lineRule="auto"/>
              <w:jc w:val="center"/>
              <w:rPr>
                <w:rFonts w:eastAsia="楷体_GB2312"/>
                <w:szCs w:val="21"/>
                <w:lang w:eastAsia="zh-TW"/>
              </w:rPr>
            </w:pPr>
          </w:p>
        </w:tc>
      </w:tr>
      <w:tr w14:paraId="7CC268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20771CB">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72A51FA2">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43BB6E1C">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87BF414">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64F56D2">
            <w:pPr>
              <w:widowControl/>
              <w:spacing w:line="360" w:lineRule="auto"/>
              <w:jc w:val="center"/>
              <w:rPr>
                <w:rFonts w:eastAsia="楷体_GB2312"/>
                <w:szCs w:val="21"/>
                <w:lang w:eastAsia="zh-TW"/>
              </w:rPr>
            </w:pPr>
          </w:p>
        </w:tc>
      </w:tr>
      <w:tr w14:paraId="2B64A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493257F2">
            <w:pPr>
              <w:widowControl/>
              <w:spacing w:line="360" w:lineRule="auto"/>
              <w:rPr>
                <w:rFonts w:eastAsia="楷体_GB2312"/>
                <w:szCs w:val="21"/>
                <w:lang w:eastAsia="zh-TW"/>
              </w:rPr>
            </w:pPr>
            <w:r>
              <w:rPr>
                <w:rFonts w:eastAsia="楷体_GB2312"/>
                <w:szCs w:val="21"/>
                <w:lang w:eastAsia="zh-TW"/>
              </w:rPr>
              <w:t>（</w:t>
            </w:r>
            <w:r>
              <w:rPr>
                <w:rFonts w:eastAsia="楷体_GB2312"/>
                <w:szCs w:val="21"/>
              </w:rPr>
              <w:t>九</w:t>
            </w:r>
            <w:r>
              <w:rPr>
                <w:rFonts w:eastAsia="楷体_GB2312"/>
                <w:szCs w:val="21"/>
                <w:lang w:eastAsia="zh-TW"/>
              </w:rPr>
              <w:t>）还款方式分布</w:t>
            </w:r>
          </w:p>
        </w:tc>
      </w:tr>
      <w:tr w14:paraId="5F0BC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506728ED">
            <w:pPr>
              <w:widowControl/>
              <w:spacing w:line="360" w:lineRule="auto"/>
              <w:jc w:val="center"/>
              <w:rPr>
                <w:rFonts w:eastAsia="楷体_GB2312"/>
                <w:b/>
              </w:rPr>
            </w:pPr>
            <w:r>
              <w:rPr>
                <w:rFonts w:eastAsia="楷体_GB2312"/>
                <w:b/>
              </w:rPr>
              <w:t>还款方式</w:t>
            </w:r>
          </w:p>
        </w:tc>
        <w:tc>
          <w:tcPr>
            <w:tcW w:w="1701" w:type="dxa"/>
            <w:tcBorders>
              <w:top w:val="single" w:color="auto" w:sz="4" w:space="0"/>
              <w:left w:val="single" w:color="auto" w:sz="4" w:space="0"/>
              <w:bottom w:val="single" w:color="auto" w:sz="4" w:space="0"/>
              <w:right w:val="single" w:color="auto" w:sz="4" w:space="0"/>
            </w:tcBorders>
            <w:vAlign w:val="center"/>
          </w:tcPr>
          <w:p w14:paraId="2099E198">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4A70415C">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4F8848A7">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3A580D87">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05E61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2A6EB9E">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8A9F3B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AF7EC8D">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43AD01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F4DC75E">
            <w:pPr>
              <w:widowControl/>
              <w:spacing w:line="360" w:lineRule="auto"/>
              <w:jc w:val="center"/>
              <w:rPr>
                <w:rFonts w:eastAsia="楷体_GB2312"/>
                <w:szCs w:val="21"/>
                <w:lang w:eastAsia="zh-TW"/>
              </w:rPr>
            </w:pPr>
          </w:p>
        </w:tc>
      </w:tr>
      <w:tr w14:paraId="0A40E2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85E5C86">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0710803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F1350F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314DF4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2C77E31">
            <w:pPr>
              <w:widowControl/>
              <w:spacing w:line="360" w:lineRule="auto"/>
              <w:jc w:val="center"/>
              <w:rPr>
                <w:rFonts w:eastAsia="楷体_GB2312"/>
                <w:szCs w:val="21"/>
                <w:lang w:eastAsia="zh-TW"/>
              </w:rPr>
            </w:pPr>
          </w:p>
        </w:tc>
      </w:tr>
      <w:tr w14:paraId="7ED67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764CE412">
            <w:pPr>
              <w:widowControl/>
              <w:spacing w:line="360" w:lineRule="auto"/>
              <w:rPr>
                <w:rFonts w:eastAsia="楷体_GB2312"/>
                <w:szCs w:val="21"/>
                <w:lang w:eastAsia="zh-TW"/>
              </w:rPr>
            </w:pPr>
            <w:r>
              <w:rPr>
                <w:rFonts w:eastAsia="楷体_GB2312"/>
                <w:szCs w:val="21"/>
                <w:lang w:eastAsia="zh-TW"/>
              </w:rPr>
              <w:t>（</w:t>
            </w:r>
            <w:r>
              <w:rPr>
                <w:rFonts w:eastAsia="楷体_GB2312"/>
                <w:szCs w:val="21"/>
              </w:rPr>
              <w:t>十</w:t>
            </w:r>
            <w:r>
              <w:rPr>
                <w:rFonts w:eastAsia="楷体_GB2312"/>
                <w:szCs w:val="21"/>
                <w:lang w:eastAsia="zh-TW"/>
              </w:rPr>
              <w:t>）贷款用途分布</w:t>
            </w:r>
          </w:p>
        </w:tc>
      </w:tr>
      <w:tr w14:paraId="4FF91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58369A4">
            <w:pPr>
              <w:widowControl/>
              <w:spacing w:line="360" w:lineRule="auto"/>
              <w:jc w:val="center"/>
              <w:rPr>
                <w:rFonts w:eastAsia="楷体_GB2312"/>
                <w:b/>
                <w:bCs/>
                <w:szCs w:val="21"/>
                <w:lang w:eastAsia="zh-TW"/>
              </w:rPr>
            </w:pPr>
            <w:r>
              <w:rPr>
                <w:rFonts w:eastAsia="楷体_GB2312"/>
                <w:b/>
                <w:bCs/>
                <w:szCs w:val="21"/>
                <w:lang w:eastAsia="zh-TW"/>
              </w:rPr>
              <w:t>贷款用途</w:t>
            </w:r>
          </w:p>
        </w:tc>
        <w:tc>
          <w:tcPr>
            <w:tcW w:w="1701" w:type="dxa"/>
            <w:tcBorders>
              <w:top w:val="single" w:color="auto" w:sz="4" w:space="0"/>
              <w:left w:val="single" w:color="auto" w:sz="4" w:space="0"/>
              <w:bottom w:val="single" w:color="auto" w:sz="4" w:space="0"/>
              <w:right w:val="single" w:color="auto" w:sz="4" w:space="0"/>
            </w:tcBorders>
            <w:vAlign w:val="center"/>
          </w:tcPr>
          <w:p w14:paraId="1D786E74">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3032229F">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0E66F65F">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1F064E5D">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52540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17EA2F9">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123EFA8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51EFA19">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06D42C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AA6F6B9">
            <w:pPr>
              <w:widowControl/>
              <w:spacing w:line="360" w:lineRule="auto"/>
              <w:jc w:val="center"/>
              <w:rPr>
                <w:rFonts w:eastAsia="楷体_GB2312"/>
                <w:szCs w:val="21"/>
                <w:lang w:eastAsia="zh-TW"/>
              </w:rPr>
            </w:pPr>
          </w:p>
        </w:tc>
      </w:tr>
      <w:tr w14:paraId="143299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C94C586">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726A9F9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7F792BB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68EC672">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E6001D2">
            <w:pPr>
              <w:widowControl/>
              <w:spacing w:line="360" w:lineRule="auto"/>
              <w:jc w:val="center"/>
              <w:rPr>
                <w:rFonts w:eastAsia="楷体_GB2312"/>
                <w:szCs w:val="21"/>
                <w:lang w:eastAsia="zh-TW"/>
              </w:rPr>
            </w:pPr>
          </w:p>
        </w:tc>
      </w:tr>
      <w:tr w14:paraId="34F33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742B1C8D">
            <w:pPr>
              <w:widowControl/>
              <w:spacing w:line="360" w:lineRule="auto"/>
              <w:rPr>
                <w:rFonts w:eastAsia="楷体_GB2312"/>
                <w:szCs w:val="21"/>
              </w:rPr>
            </w:pPr>
            <w:r>
              <w:rPr>
                <w:rFonts w:eastAsia="楷体_GB2312"/>
                <w:szCs w:val="21"/>
              </w:rPr>
              <w:t>（十一）贷款类型分布</w:t>
            </w:r>
          </w:p>
        </w:tc>
      </w:tr>
      <w:tr w14:paraId="59B3C7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1D7A3D5">
            <w:pPr>
              <w:widowControl/>
              <w:spacing w:line="360" w:lineRule="auto"/>
              <w:jc w:val="center"/>
              <w:rPr>
                <w:rFonts w:eastAsia="楷体_GB2312"/>
                <w:b/>
              </w:rPr>
            </w:pPr>
            <w:r>
              <w:rPr>
                <w:rFonts w:eastAsia="楷体_GB2312"/>
                <w:b/>
              </w:rPr>
              <w:t>贷款类型</w:t>
            </w:r>
          </w:p>
        </w:tc>
        <w:tc>
          <w:tcPr>
            <w:tcW w:w="1701" w:type="dxa"/>
            <w:tcBorders>
              <w:top w:val="single" w:color="auto" w:sz="4" w:space="0"/>
              <w:left w:val="single" w:color="auto" w:sz="4" w:space="0"/>
              <w:bottom w:val="single" w:color="auto" w:sz="4" w:space="0"/>
              <w:right w:val="single" w:color="auto" w:sz="4" w:space="0"/>
            </w:tcBorders>
            <w:vAlign w:val="center"/>
          </w:tcPr>
          <w:p w14:paraId="78B51085">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5547BF1E">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3C7BC507">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7342834B">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1B5DE0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1016782">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0DECD0A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10C6144">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2FC510E">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4BE80BF">
            <w:pPr>
              <w:widowControl/>
              <w:spacing w:line="360" w:lineRule="auto"/>
              <w:jc w:val="center"/>
              <w:rPr>
                <w:rFonts w:eastAsia="楷体_GB2312"/>
                <w:szCs w:val="21"/>
                <w:lang w:eastAsia="zh-TW"/>
              </w:rPr>
            </w:pPr>
          </w:p>
        </w:tc>
      </w:tr>
      <w:tr w14:paraId="4A591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B6C0310">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79BE7C0A">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1BA975F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F1F0840">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48C6DB1">
            <w:pPr>
              <w:widowControl/>
              <w:spacing w:line="360" w:lineRule="auto"/>
              <w:jc w:val="center"/>
              <w:rPr>
                <w:rFonts w:eastAsia="楷体_GB2312"/>
                <w:szCs w:val="21"/>
                <w:lang w:eastAsia="zh-TW"/>
              </w:rPr>
            </w:pPr>
          </w:p>
        </w:tc>
      </w:tr>
      <w:tr w14:paraId="4F76F8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4"/>
          <w:wAfter w:w="6662" w:type="dxa"/>
        </w:trPr>
        <w:tc>
          <w:tcPr>
            <w:tcW w:w="1980" w:type="dxa"/>
            <w:tcBorders>
              <w:top w:val="single" w:color="auto" w:sz="4" w:space="0"/>
              <w:bottom w:val="single" w:color="auto" w:sz="4" w:space="0"/>
            </w:tcBorders>
            <w:vAlign w:val="center"/>
          </w:tcPr>
          <w:p w14:paraId="56993AF0">
            <w:pPr>
              <w:widowControl/>
              <w:spacing w:line="360" w:lineRule="auto"/>
              <w:jc w:val="center"/>
              <w:rPr>
                <w:rFonts w:eastAsia="楷体_GB2312"/>
                <w:szCs w:val="21"/>
                <w:lang w:eastAsia="zh-TW"/>
              </w:rPr>
            </w:pPr>
            <w:r>
              <w:rPr>
                <w:rFonts w:eastAsia="楷体_GB2312"/>
                <w:szCs w:val="21"/>
                <w:lang w:eastAsia="zh-TW"/>
              </w:rPr>
              <w:t>合计</w:t>
            </w:r>
          </w:p>
        </w:tc>
      </w:tr>
      <w:tr w14:paraId="027F8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right w:val="single" w:color="auto" w:sz="4" w:space="0"/>
            </w:tcBorders>
            <w:vAlign w:val="center"/>
          </w:tcPr>
          <w:p w14:paraId="222F0FD7">
            <w:pPr>
              <w:widowControl/>
              <w:spacing w:line="360" w:lineRule="auto"/>
              <w:rPr>
                <w:rFonts w:eastAsia="楷体_GB2312"/>
                <w:szCs w:val="21"/>
                <w:lang w:eastAsia="zh-TW"/>
              </w:rPr>
            </w:pPr>
            <w:r>
              <w:rPr>
                <w:rFonts w:eastAsia="楷体_GB2312"/>
                <w:szCs w:val="21"/>
                <w:lang w:eastAsia="zh-TW"/>
              </w:rPr>
              <w:t>（十二）借款人年收入分布</w:t>
            </w:r>
          </w:p>
        </w:tc>
      </w:tr>
      <w:tr w14:paraId="767C5D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70C8AD55">
            <w:pPr>
              <w:widowControl/>
              <w:spacing w:line="360" w:lineRule="auto"/>
              <w:jc w:val="center"/>
              <w:rPr>
                <w:rFonts w:eastAsia="楷体_GB2312"/>
                <w:b/>
              </w:rPr>
            </w:pPr>
            <w:r>
              <w:rPr>
                <w:rFonts w:eastAsia="楷体_GB2312"/>
                <w:b/>
                <w:bCs/>
                <w:szCs w:val="21"/>
                <w:lang w:eastAsia="zh-TW"/>
              </w:rPr>
              <w:t>年收入</w:t>
            </w:r>
          </w:p>
        </w:tc>
        <w:tc>
          <w:tcPr>
            <w:tcW w:w="1701" w:type="dxa"/>
            <w:tcBorders>
              <w:top w:val="single" w:color="auto" w:sz="4" w:space="0"/>
              <w:left w:val="single" w:color="auto" w:sz="4" w:space="0"/>
              <w:bottom w:val="single" w:color="auto" w:sz="4" w:space="0"/>
              <w:right w:val="single" w:color="auto" w:sz="4" w:space="0"/>
            </w:tcBorders>
            <w:vAlign w:val="center"/>
          </w:tcPr>
          <w:p w14:paraId="5DAE9A0E">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0E58E587">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036A28BD">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1AA99315">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4670C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1C294A24">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770E07B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704BD47E">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823E946">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4B8F3E1">
            <w:pPr>
              <w:widowControl/>
              <w:spacing w:line="360" w:lineRule="auto"/>
              <w:jc w:val="center"/>
              <w:rPr>
                <w:rFonts w:eastAsia="楷体_GB2312"/>
                <w:szCs w:val="21"/>
                <w:lang w:eastAsia="zh-TW"/>
              </w:rPr>
            </w:pPr>
          </w:p>
        </w:tc>
      </w:tr>
      <w:tr w14:paraId="2B9A8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EFE3C4B">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2A5BFA3D">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59BCCB4">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508E75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1A0A9B0">
            <w:pPr>
              <w:widowControl/>
              <w:spacing w:line="360" w:lineRule="auto"/>
              <w:jc w:val="center"/>
              <w:rPr>
                <w:rFonts w:eastAsia="楷体_GB2312"/>
                <w:szCs w:val="21"/>
                <w:lang w:eastAsia="zh-TW"/>
              </w:rPr>
            </w:pPr>
          </w:p>
        </w:tc>
      </w:tr>
      <w:tr w14:paraId="09C805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4"/>
          <w:wAfter w:w="6662" w:type="dxa"/>
        </w:trPr>
        <w:tc>
          <w:tcPr>
            <w:tcW w:w="1980" w:type="dxa"/>
            <w:tcBorders>
              <w:top w:val="single" w:color="auto" w:sz="4" w:space="0"/>
              <w:bottom w:val="single" w:color="auto" w:sz="4" w:space="0"/>
            </w:tcBorders>
            <w:vAlign w:val="center"/>
          </w:tcPr>
          <w:p w14:paraId="61941A76">
            <w:pPr>
              <w:widowControl/>
              <w:spacing w:line="360" w:lineRule="auto"/>
              <w:jc w:val="center"/>
              <w:rPr>
                <w:rFonts w:eastAsia="楷体_GB2312"/>
                <w:szCs w:val="21"/>
                <w:lang w:eastAsia="zh-TW"/>
              </w:rPr>
            </w:pPr>
            <w:r>
              <w:rPr>
                <w:rFonts w:eastAsia="楷体_GB2312"/>
                <w:szCs w:val="21"/>
                <w:lang w:eastAsia="zh-TW"/>
              </w:rPr>
              <w:t>合计</w:t>
            </w:r>
          </w:p>
        </w:tc>
      </w:tr>
      <w:tr w14:paraId="1E368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right w:val="single" w:color="auto" w:sz="4" w:space="0"/>
            </w:tcBorders>
            <w:vAlign w:val="center"/>
          </w:tcPr>
          <w:p w14:paraId="59795173">
            <w:pPr>
              <w:widowControl/>
              <w:spacing w:line="360" w:lineRule="auto"/>
              <w:rPr>
                <w:rFonts w:eastAsia="楷体_GB2312"/>
                <w:szCs w:val="21"/>
              </w:rPr>
            </w:pPr>
            <w:r>
              <w:rPr>
                <w:rFonts w:eastAsia="楷体_GB2312"/>
                <w:szCs w:val="21"/>
              </w:rPr>
              <w:t>（十三）借款人区域分布</w:t>
            </w:r>
          </w:p>
        </w:tc>
      </w:tr>
      <w:tr w14:paraId="1EB5E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C911552">
            <w:pPr>
              <w:widowControl/>
              <w:spacing w:line="360" w:lineRule="auto"/>
              <w:jc w:val="center"/>
              <w:rPr>
                <w:rFonts w:eastAsia="楷体_GB2312"/>
                <w:b/>
              </w:rPr>
            </w:pPr>
            <w:r>
              <w:rPr>
                <w:rFonts w:eastAsia="楷体_GB2312"/>
                <w:b/>
                <w:bCs/>
                <w:szCs w:val="21"/>
                <w:lang w:eastAsia="zh-TW"/>
              </w:rPr>
              <w:t>地区</w:t>
            </w:r>
          </w:p>
        </w:tc>
        <w:tc>
          <w:tcPr>
            <w:tcW w:w="1701" w:type="dxa"/>
            <w:tcBorders>
              <w:top w:val="single" w:color="auto" w:sz="4" w:space="0"/>
              <w:left w:val="single" w:color="auto" w:sz="4" w:space="0"/>
              <w:bottom w:val="single" w:color="auto" w:sz="4" w:space="0"/>
              <w:right w:val="single" w:color="auto" w:sz="4" w:space="0"/>
            </w:tcBorders>
            <w:vAlign w:val="center"/>
          </w:tcPr>
          <w:p w14:paraId="54EBBFC2">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73284E90">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6C5AE963">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76B87D90">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23052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4811D15">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28458BB1">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F0CCFB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79891463">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AE01EAA">
            <w:pPr>
              <w:widowControl/>
              <w:spacing w:line="360" w:lineRule="auto"/>
              <w:jc w:val="center"/>
              <w:rPr>
                <w:rFonts w:eastAsia="楷体_GB2312"/>
                <w:szCs w:val="21"/>
                <w:lang w:eastAsia="zh-TW"/>
              </w:rPr>
            </w:pPr>
          </w:p>
        </w:tc>
      </w:tr>
      <w:tr w14:paraId="41A6DF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18B388F3">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A998C7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FAFC326">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04DE4893">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E92D29E">
            <w:pPr>
              <w:widowControl/>
              <w:spacing w:line="360" w:lineRule="auto"/>
              <w:jc w:val="center"/>
              <w:rPr>
                <w:rFonts w:eastAsia="楷体_GB2312"/>
                <w:szCs w:val="21"/>
                <w:lang w:eastAsia="zh-TW"/>
              </w:rPr>
            </w:pPr>
          </w:p>
        </w:tc>
      </w:tr>
      <w:tr w14:paraId="4936A4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9D80A43">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300E75F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35D1805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4134849C">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16D01EB4">
            <w:pPr>
              <w:widowControl/>
              <w:spacing w:line="360" w:lineRule="auto"/>
              <w:jc w:val="center"/>
              <w:rPr>
                <w:rFonts w:eastAsia="楷体_GB2312"/>
                <w:szCs w:val="21"/>
                <w:lang w:eastAsia="zh-TW"/>
              </w:rPr>
            </w:pPr>
          </w:p>
        </w:tc>
      </w:tr>
      <w:tr w14:paraId="2EA761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505381CC">
            <w:pPr>
              <w:widowControl/>
              <w:spacing w:line="360" w:lineRule="auto"/>
              <w:rPr>
                <w:rFonts w:eastAsia="楷体_GB2312"/>
                <w:szCs w:val="21"/>
              </w:rPr>
            </w:pPr>
            <w:r>
              <w:rPr>
                <w:rFonts w:eastAsia="楷体_GB2312"/>
                <w:szCs w:val="21"/>
              </w:rPr>
              <w:t>（十四）借款人行业分布</w:t>
            </w:r>
          </w:p>
        </w:tc>
      </w:tr>
      <w:tr w14:paraId="6C1A4A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64F79C9">
            <w:pPr>
              <w:widowControl/>
              <w:spacing w:line="360" w:lineRule="auto"/>
              <w:jc w:val="center"/>
              <w:rPr>
                <w:rFonts w:eastAsia="楷体_GB2312"/>
                <w:szCs w:val="21"/>
                <w:lang w:eastAsia="zh-TW"/>
              </w:rPr>
            </w:pPr>
            <w:r>
              <w:rPr>
                <w:rFonts w:eastAsia="楷体_GB2312"/>
                <w:b/>
                <w:bCs/>
                <w:szCs w:val="21"/>
                <w:lang w:eastAsia="zh-TW"/>
              </w:rPr>
              <w:t>地区</w:t>
            </w:r>
          </w:p>
        </w:tc>
        <w:tc>
          <w:tcPr>
            <w:tcW w:w="1701" w:type="dxa"/>
            <w:tcBorders>
              <w:top w:val="single" w:color="auto" w:sz="4" w:space="0"/>
              <w:left w:val="single" w:color="auto" w:sz="4" w:space="0"/>
              <w:bottom w:val="single" w:color="auto" w:sz="4" w:space="0"/>
              <w:right w:val="single" w:color="auto" w:sz="4" w:space="0"/>
            </w:tcBorders>
            <w:vAlign w:val="center"/>
          </w:tcPr>
          <w:p w14:paraId="12001307">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27E6A273">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55F2E460">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62302578">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2CC1CF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7A25B45">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3A944F7E">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66BA5E0D">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16B70B4A">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0738E550">
            <w:pPr>
              <w:widowControl/>
              <w:spacing w:line="360" w:lineRule="auto"/>
              <w:jc w:val="center"/>
              <w:rPr>
                <w:rFonts w:eastAsia="楷体_GB2312"/>
                <w:szCs w:val="21"/>
                <w:lang w:eastAsia="zh-TW"/>
              </w:rPr>
            </w:pPr>
          </w:p>
        </w:tc>
      </w:tr>
      <w:tr w14:paraId="3F931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224FDB54">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6C9DE607">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08E8372">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76556B47">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46016BD8">
            <w:pPr>
              <w:widowControl/>
              <w:spacing w:line="360" w:lineRule="auto"/>
              <w:jc w:val="center"/>
              <w:rPr>
                <w:rFonts w:eastAsia="楷体_GB2312"/>
                <w:szCs w:val="21"/>
                <w:lang w:eastAsia="zh-TW"/>
              </w:rPr>
            </w:pPr>
          </w:p>
        </w:tc>
      </w:tr>
      <w:tr w14:paraId="568C7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8B885F6">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29F7E717">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6692417">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A9A4BD1">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7C5B5302">
            <w:pPr>
              <w:widowControl/>
              <w:spacing w:line="360" w:lineRule="auto"/>
              <w:jc w:val="center"/>
              <w:rPr>
                <w:rFonts w:eastAsia="楷体_GB2312"/>
                <w:szCs w:val="21"/>
                <w:lang w:eastAsia="zh-TW"/>
              </w:rPr>
            </w:pPr>
          </w:p>
        </w:tc>
      </w:tr>
      <w:tr w14:paraId="496F0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2" w:type="dxa"/>
            <w:gridSpan w:val="5"/>
            <w:tcBorders>
              <w:top w:val="single" w:color="auto" w:sz="4" w:space="0"/>
              <w:bottom w:val="single" w:color="auto" w:sz="4" w:space="0"/>
            </w:tcBorders>
            <w:vAlign w:val="center"/>
          </w:tcPr>
          <w:p w14:paraId="6678F57F">
            <w:pPr>
              <w:spacing w:before="120"/>
              <w:rPr>
                <w:rFonts w:eastAsia="楷体_GB2312"/>
                <w:szCs w:val="21"/>
              </w:rPr>
            </w:pPr>
            <w:r>
              <w:rPr>
                <w:rFonts w:eastAsia="楷体_GB2312"/>
                <w:szCs w:val="21"/>
              </w:rPr>
              <w:t>（十五）借款人信用分数分布</w:t>
            </w:r>
          </w:p>
        </w:tc>
      </w:tr>
      <w:tr w14:paraId="5F7550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2870EA2">
            <w:pPr>
              <w:widowControl/>
              <w:spacing w:line="360" w:lineRule="auto"/>
              <w:jc w:val="center"/>
              <w:rPr>
                <w:rFonts w:eastAsia="楷体_GB2312"/>
                <w:szCs w:val="21"/>
                <w:lang w:eastAsia="zh-TW"/>
              </w:rPr>
            </w:pPr>
            <w:r>
              <w:rPr>
                <w:rFonts w:eastAsia="楷体_GB2312"/>
                <w:b/>
                <w:bCs/>
                <w:szCs w:val="21"/>
                <w:lang w:eastAsia="zh-TW"/>
              </w:rPr>
              <w:t>信用分数</w:t>
            </w:r>
          </w:p>
        </w:tc>
        <w:tc>
          <w:tcPr>
            <w:tcW w:w="1701" w:type="dxa"/>
            <w:tcBorders>
              <w:top w:val="single" w:color="auto" w:sz="4" w:space="0"/>
              <w:left w:val="single" w:color="auto" w:sz="4" w:space="0"/>
              <w:bottom w:val="single" w:color="auto" w:sz="4" w:space="0"/>
              <w:right w:val="single" w:color="auto" w:sz="4" w:space="0"/>
            </w:tcBorders>
            <w:vAlign w:val="center"/>
          </w:tcPr>
          <w:p w14:paraId="52493351">
            <w:pPr>
              <w:widowControl/>
              <w:spacing w:line="360" w:lineRule="auto"/>
              <w:jc w:val="center"/>
              <w:rPr>
                <w:rFonts w:eastAsia="楷体_GB2312"/>
                <w:szCs w:val="21"/>
                <w:lang w:eastAsia="zh-TW"/>
              </w:rPr>
            </w:pPr>
            <w:r>
              <w:rPr>
                <w:rFonts w:eastAsia="楷体_GB2312"/>
                <w:b/>
                <w:bCs/>
                <w:szCs w:val="21"/>
                <w:lang w:eastAsia="zh-TW"/>
              </w:rPr>
              <w:t>笔数</w:t>
            </w:r>
          </w:p>
        </w:tc>
        <w:tc>
          <w:tcPr>
            <w:tcW w:w="1276" w:type="dxa"/>
            <w:tcBorders>
              <w:top w:val="single" w:color="auto" w:sz="4" w:space="0"/>
              <w:left w:val="single" w:color="auto" w:sz="4" w:space="0"/>
              <w:bottom w:val="single" w:color="auto" w:sz="4" w:space="0"/>
              <w:right w:val="single" w:color="auto" w:sz="4" w:space="0"/>
            </w:tcBorders>
            <w:vAlign w:val="center"/>
          </w:tcPr>
          <w:p w14:paraId="5D429BCA">
            <w:pPr>
              <w:widowControl/>
              <w:spacing w:line="360" w:lineRule="auto"/>
              <w:jc w:val="center"/>
              <w:rPr>
                <w:rFonts w:eastAsia="楷体_GB2312"/>
                <w:szCs w:val="21"/>
                <w:lang w:eastAsia="zh-TW"/>
              </w:rPr>
            </w:pPr>
            <w:r>
              <w:rPr>
                <w:rFonts w:eastAsia="楷体_GB2312"/>
                <w:b/>
                <w:bCs/>
                <w:szCs w:val="21"/>
                <w:lang w:eastAsia="zh-TW"/>
              </w:rPr>
              <w:t>笔数占比</w:t>
            </w:r>
          </w:p>
        </w:tc>
        <w:tc>
          <w:tcPr>
            <w:tcW w:w="1842" w:type="dxa"/>
            <w:tcBorders>
              <w:top w:val="single" w:color="auto" w:sz="4" w:space="0"/>
              <w:left w:val="single" w:color="auto" w:sz="4" w:space="0"/>
              <w:bottom w:val="single" w:color="auto" w:sz="4" w:space="0"/>
              <w:right w:val="single" w:color="auto" w:sz="4" w:space="0"/>
            </w:tcBorders>
            <w:vAlign w:val="center"/>
          </w:tcPr>
          <w:p w14:paraId="5F5F8DC4">
            <w:pPr>
              <w:widowControl/>
              <w:spacing w:line="360" w:lineRule="auto"/>
              <w:jc w:val="center"/>
              <w:rPr>
                <w:rFonts w:eastAsia="楷体_GB2312"/>
                <w:szCs w:val="21"/>
                <w:lang w:eastAsia="zh-TW"/>
              </w:rPr>
            </w:pPr>
            <w:r>
              <w:rPr>
                <w:rFonts w:eastAsia="楷体_GB2312"/>
                <w:b/>
                <w:bCs/>
                <w:szCs w:val="21"/>
                <w:lang w:eastAsia="zh-TW"/>
              </w:rPr>
              <w:t>入池金额</w:t>
            </w:r>
          </w:p>
        </w:tc>
        <w:tc>
          <w:tcPr>
            <w:tcW w:w="1843" w:type="dxa"/>
            <w:tcBorders>
              <w:top w:val="single" w:color="auto" w:sz="4" w:space="0"/>
              <w:left w:val="single" w:color="auto" w:sz="4" w:space="0"/>
              <w:bottom w:val="single" w:color="auto" w:sz="4" w:space="0"/>
            </w:tcBorders>
            <w:vAlign w:val="center"/>
          </w:tcPr>
          <w:p w14:paraId="6FCE7BEE">
            <w:pPr>
              <w:widowControl/>
              <w:spacing w:line="360" w:lineRule="auto"/>
              <w:jc w:val="center"/>
              <w:rPr>
                <w:rFonts w:eastAsia="楷体_GB2312"/>
                <w:szCs w:val="21"/>
                <w:lang w:eastAsia="zh-TW"/>
              </w:rPr>
            </w:pPr>
            <w:r>
              <w:rPr>
                <w:rFonts w:eastAsia="楷体_GB2312"/>
                <w:b/>
                <w:bCs/>
                <w:szCs w:val="21"/>
                <w:lang w:eastAsia="zh-TW"/>
              </w:rPr>
              <w:t>入池金额占比</w:t>
            </w:r>
          </w:p>
        </w:tc>
      </w:tr>
      <w:tr w14:paraId="48729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32A1D03B">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04BE2853">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E1DB72C">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508BD3F">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B50DE72">
            <w:pPr>
              <w:widowControl/>
              <w:spacing w:line="360" w:lineRule="auto"/>
              <w:jc w:val="center"/>
              <w:rPr>
                <w:rFonts w:eastAsia="楷体_GB2312"/>
                <w:szCs w:val="21"/>
                <w:lang w:eastAsia="zh-TW"/>
              </w:rPr>
            </w:pPr>
          </w:p>
        </w:tc>
      </w:tr>
      <w:tr w14:paraId="3466BB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FFCC2F6">
            <w:pPr>
              <w:widowControl/>
              <w:spacing w:line="360" w:lineRule="auto"/>
              <w:jc w:val="center"/>
              <w:rPr>
                <w:rFonts w:eastAsia="楷体_GB2312"/>
                <w:szCs w:val="21"/>
                <w:lang w:eastAsia="zh-TW"/>
              </w:rPr>
            </w:pPr>
            <w:r>
              <w:rPr>
                <w:rFonts w:eastAsia="楷体_GB2312"/>
                <w:szCs w:val="21"/>
                <w:lang w:eastAsia="zh-TW"/>
              </w:rPr>
              <w:t>…</w:t>
            </w:r>
          </w:p>
        </w:tc>
        <w:tc>
          <w:tcPr>
            <w:tcW w:w="1701" w:type="dxa"/>
            <w:tcBorders>
              <w:top w:val="single" w:color="auto" w:sz="4" w:space="0"/>
              <w:left w:val="single" w:color="auto" w:sz="4" w:space="0"/>
              <w:bottom w:val="single" w:color="auto" w:sz="4" w:space="0"/>
              <w:right w:val="single" w:color="auto" w:sz="4" w:space="0"/>
            </w:tcBorders>
            <w:vAlign w:val="center"/>
          </w:tcPr>
          <w:p w14:paraId="4ED054A6">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294C32C2">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6B43F6C5">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95EC98C">
            <w:pPr>
              <w:widowControl/>
              <w:spacing w:line="360" w:lineRule="auto"/>
              <w:jc w:val="center"/>
              <w:rPr>
                <w:rFonts w:eastAsia="楷体_GB2312"/>
                <w:szCs w:val="21"/>
                <w:lang w:eastAsia="zh-TW"/>
              </w:rPr>
            </w:pPr>
          </w:p>
        </w:tc>
      </w:tr>
      <w:tr w14:paraId="5228F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6436EDB0">
            <w:pPr>
              <w:widowControl/>
              <w:spacing w:line="360" w:lineRule="auto"/>
              <w:jc w:val="center"/>
              <w:rPr>
                <w:rFonts w:eastAsia="楷体_GB2312"/>
                <w:szCs w:val="21"/>
                <w:lang w:eastAsia="zh-TW"/>
              </w:rPr>
            </w:pPr>
          </w:p>
        </w:tc>
        <w:tc>
          <w:tcPr>
            <w:tcW w:w="1701" w:type="dxa"/>
            <w:tcBorders>
              <w:top w:val="single" w:color="auto" w:sz="4" w:space="0"/>
              <w:left w:val="single" w:color="auto" w:sz="4" w:space="0"/>
              <w:bottom w:val="single" w:color="auto" w:sz="4" w:space="0"/>
              <w:right w:val="single" w:color="auto" w:sz="4" w:space="0"/>
            </w:tcBorders>
            <w:vAlign w:val="center"/>
          </w:tcPr>
          <w:p w14:paraId="2A49595F">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5AF66295">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3930DC80">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287E355">
            <w:pPr>
              <w:widowControl/>
              <w:spacing w:line="360" w:lineRule="auto"/>
              <w:jc w:val="center"/>
              <w:rPr>
                <w:rFonts w:eastAsia="楷体_GB2312"/>
                <w:szCs w:val="21"/>
                <w:lang w:eastAsia="zh-TW"/>
              </w:rPr>
            </w:pPr>
          </w:p>
        </w:tc>
      </w:tr>
      <w:tr w14:paraId="2F17D3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0970BB01">
            <w:pPr>
              <w:widowControl/>
              <w:spacing w:line="360" w:lineRule="auto"/>
              <w:jc w:val="center"/>
              <w:rPr>
                <w:rFonts w:eastAsia="楷体_GB2312"/>
                <w:szCs w:val="21"/>
                <w:lang w:eastAsia="zh-TW"/>
              </w:rPr>
            </w:pPr>
          </w:p>
        </w:tc>
        <w:tc>
          <w:tcPr>
            <w:tcW w:w="1701" w:type="dxa"/>
            <w:tcBorders>
              <w:top w:val="single" w:color="auto" w:sz="4" w:space="0"/>
              <w:left w:val="single" w:color="auto" w:sz="4" w:space="0"/>
              <w:bottom w:val="single" w:color="auto" w:sz="4" w:space="0"/>
              <w:right w:val="single" w:color="auto" w:sz="4" w:space="0"/>
            </w:tcBorders>
            <w:vAlign w:val="center"/>
          </w:tcPr>
          <w:p w14:paraId="44C2DB45">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262D1F8">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241DB9CA">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236D31AF">
            <w:pPr>
              <w:widowControl/>
              <w:spacing w:line="360" w:lineRule="auto"/>
              <w:jc w:val="center"/>
              <w:rPr>
                <w:rFonts w:eastAsia="楷体_GB2312"/>
                <w:szCs w:val="21"/>
                <w:lang w:eastAsia="zh-TW"/>
              </w:rPr>
            </w:pPr>
          </w:p>
        </w:tc>
      </w:tr>
      <w:tr w14:paraId="2B0DB6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80" w:type="dxa"/>
            <w:tcBorders>
              <w:top w:val="single" w:color="auto" w:sz="4" w:space="0"/>
              <w:bottom w:val="single" w:color="auto" w:sz="4" w:space="0"/>
              <w:right w:val="single" w:color="auto" w:sz="4" w:space="0"/>
            </w:tcBorders>
            <w:vAlign w:val="center"/>
          </w:tcPr>
          <w:p w14:paraId="40068B54">
            <w:pPr>
              <w:widowControl/>
              <w:spacing w:line="360" w:lineRule="auto"/>
              <w:jc w:val="center"/>
              <w:rPr>
                <w:rFonts w:eastAsia="楷体_GB2312"/>
                <w:szCs w:val="21"/>
                <w:lang w:eastAsia="zh-TW"/>
              </w:rPr>
            </w:pPr>
            <w:r>
              <w:rPr>
                <w:rFonts w:eastAsia="楷体_GB2312"/>
                <w:szCs w:val="21"/>
                <w:lang w:eastAsia="zh-TW"/>
              </w:rPr>
              <w:t>合计</w:t>
            </w:r>
          </w:p>
        </w:tc>
        <w:tc>
          <w:tcPr>
            <w:tcW w:w="1701" w:type="dxa"/>
            <w:tcBorders>
              <w:top w:val="single" w:color="auto" w:sz="4" w:space="0"/>
              <w:left w:val="single" w:color="auto" w:sz="4" w:space="0"/>
              <w:bottom w:val="single" w:color="auto" w:sz="4" w:space="0"/>
              <w:right w:val="single" w:color="auto" w:sz="4" w:space="0"/>
            </w:tcBorders>
            <w:vAlign w:val="center"/>
          </w:tcPr>
          <w:p w14:paraId="561BF7AC">
            <w:pPr>
              <w:widowControl/>
              <w:spacing w:line="360" w:lineRule="auto"/>
              <w:jc w:val="center"/>
              <w:rPr>
                <w:rFonts w:eastAsia="楷体_GB2312"/>
                <w:szCs w:val="21"/>
                <w:lang w:eastAsia="zh-TW"/>
              </w:rPr>
            </w:pPr>
          </w:p>
        </w:tc>
        <w:tc>
          <w:tcPr>
            <w:tcW w:w="1276" w:type="dxa"/>
            <w:tcBorders>
              <w:top w:val="single" w:color="auto" w:sz="4" w:space="0"/>
              <w:left w:val="single" w:color="auto" w:sz="4" w:space="0"/>
              <w:bottom w:val="single" w:color="auto" w:sz="4" w:space="0"/>
              <w:right w:val="single" w:color="auto" w:sz="4" w:space="0"/>
            </w:tcBorders>
            <w:vAlign w:val="center"/>
          </w:tcPr>
          <w:p w14:paraId="09F95961">
            <w:pPr>
              <w:widowControl/>
              <w:spacing w:line="360" w:lineRule="auto"/>
              <w:jc w:val="center"/>
              <w:rPr>
                <w:rFonts w:eastAsia="楷体_GB2312"/>
                <w:szCs w:val="21"/>
                <w:lang w:eastAsia="zh-TW"/>
              </w:rPr>
            </w:pPr>
          </w:p>
        </w:tc>
        <w:tc>
          <w:tcPr>
            <w:tcW w:w="1842" w:type="dxa"/>
            <w:tcBorders>
              <w:top w:val="single" w:color="auto" w:sz="4" w:space="0"/>
              <w:left w:val="single" w:color="auto" w:sz="4" w:space="0"/>
              <w:bottom w:val="single" w:color="auto" w:sz="4" w:space="0"/>
              <w:right w:val="single" w:color="auto" w:sz="4" w:space="0"/>
            </w:tcBorders>
            <w:vAlign w:val="center"/>
          </w:tcPr>
          <w:p w14:paraId="3DE69430">
            <w:pPr>
              <w:widowControl/>
              <w:spacing w:line="360" w:lineRule="auto"/>
              <w:jc w:val="center"/>
              <w:rPr>
                <w:rFonts w:eastAsia="楷体_GB2312"/>
                <w:szCs w:val="21"/>
                <w:lang w:eastAsia="zh-TW"/>
              </w:rPr>
            </w:pPr>
          </w:p>
        </w:tc>
        <w:tc>
          <w:tcPr>
            <w:tcW w:w="1843" w:type="dxa"/>
            <w:tcBorders>
              <w:top w:val="single" w:color="auto" w:sz="4" w:space="0"/>
              <w:left w:val="single" w:color="auto" w:sz="4" w:space="0"/>
              <w:bottom w:val="single" w:color="auto" w:sz="4" w:space="0"/>
            </w:tcBorders>
            <w:vAlign w:val="center"/>
          </w:tcPr>
          <w:p w14:paraId="51CFC6E2">
            <w:pPr>
              <w:widowControl/>
              <w:spacing w:line="360" w:lineRule="auto"/>
              <w:jc w:val="center"/>
              <w:rPr>
                <w:rFonts w:eastAsia="楷体_GB2312"/>
                <w:szCs w:val="21"/>
                <w:lang w:eastAsia="zh-TW"/>
              </w:rPr>
            </w:pPr>
          </w:p>
        </w:tc>
      </w:tr>
    </w:tbl>
    <w:p w14:paraId="483062DE">
      <w:pPr>
        <w:rPr>
          <w:rFonts w:eastAsia="楷体_GB2312"/>
        </w:rPr>
      </w:pPr>
    </w:p>
    <w:p w14:paraId="034DA948">
      <w:pPr>
        <w:widowControl/>
        <w:jc w:val="left"/>
        <w:rPr>
          <w:rFonts w:eastAsia="楷体_GB2312"/>
        </w:rPr>
      </w:pPr>
    </w:p>
    <w:p w14:paraId="5563DF56">
      <w:pPr>
        <w:widowControl/>
        <w:jc w:val="left"/>
        <w:rPr>
          <w:rFonts w:eastAsia="楷体_GB2312"/>
        </w:rPr>
      </w:pPr>
      <w:r>
        <w:rPr>
          <w:rFonts w:eastAsia="楷体_GB2312"/>
        </w:rPr>
        <w:br w:type="page"/>
      </w:r>
    </w:p>
    <w:p w14:paraId="737BB837">
      <w:pPr>
        <w:widowControl/>
        <w:jc w:val="left"/>
        <w:rPr>
          <w:rFonts w:eastAsia="楷体_GB2312"/>
        </w:rPr>
      </w:pPr>
    </w:p>
    <w:tbl>
      <w:tblPr>
        <w:tblStyle w:val="2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7"/>
        <w:gridCol w:w="3241"/>
        <w:gridCol w:w="2652"/>
      </w:tblGrid>
      <w:tr w14:paraId="6009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single" w:color="auto" w:sz="4" w:space="0"/>
              <w:left w:val="single" w:color="auto" w:sz="4" w:space="0"/>
              <w:bottom w:val="single" w:color="auto" w:sz="4" w:space="0"/>
              <w:right w:val="single" w:color="auto" w:sz="4" w:space="0"/>
            </w:tcBorders>
          </w:tcPr>
          <w:p w14:paraId="6C56FBE1">
            <w:pPr>
              <w:widowControl/>
              <w:spacing w:line="360" w:lineRule="auto"/>
              <w:jc w:val="center"/>
              <w:rPr>
                <w:rFonts w:eastAsia="楷体_GB2312"/>
                <w:b/>
                <w:sz w:val="28"/>
              </w:rPr>
            </w:pPr>
            <w:r>
              <w:rPr>
                <w:rFonts w:eastAsia="楷体_GB2312"/>
                <w:b/>
                <w:sz w:val="28"/>
              </w:rPr>
              <w:t>【信托名称】受托机构报告</w:t>
            </w:r>
          </w:p>
        </w:tc>
      </w:tr>
      <w:tr w14:paraId="3A79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single" w:color="auto" w:sz="4" w:space="0"/>
              <w:left w:val="single" w:color="auto" w:sz="4" w:space="0"/>
              <w:bottom w:val="nil"/>
              <w:right w:val="single" w:color="auto" w:sz="4" w:space="0"/>
            </w:tcBorders>
          </w:tcPr>
          <w:p w14:paraId="771B7B3A">
            <w:pPr>
              <w:widowControl/>
              <w:spacing w:line="360" w:lineRule="auto"/>
              <w:jc w:val="left"/>
              <w:rPr>
                <w:rFonts w:eastAsia="楷体_GB2312"/>
                <w:b/>
                <w:szCs w:val="21"/>
              </w:rPr>
            </w:pPr>
            <w:r>
              <w:rPr>
                <w:rFonts w:eastAsia="楷体_GB2312"/>
                <w:b/>
                <w:szCs w:val="21"/>
              </w:rPr>
              <w:t>六、本期资产支持证券内外部信用增级情况如下：</w:t>
            </w:r>
          </w:p>
          <w:p w14:paraId="74534B37">
            <w:pPr>
              <w:widowControl/>
              <w:spacing w:line="360" w:lineRule="auto"/>
              <w:jc w:val="left"/>
              <w:rPr>
                <w:rFonts w:eastAsia="楷体_GB2312"/>
                <w:szCs w:val="21"/>
              </w:rPr>
            </w:pPr>
            <w:r>
              <w:rPr>
                <w:rFonts w:eastAsia="楷体_GB2312"/>
                <w:szCs w:val="21"/>
              </w:rPr>
              <w:t>本次交易通过设定优先A级</w:t>
            </w:r>
            <w:r>
              <w:rPr>
                <w:rFonts w:eastAsia="楷体_GB2312"/>
                <w:b/>
                <w:szCs w:val="21"/>
              </w:rPr>
              <w:t>/</w:t>
            </w:r>
            <w:r>
              <w:rPr>
                <w:rFonts w:eastAsia="楷体_GB2312"/>
                <w:szCs w:val="21"/>
              </w:rPr>
              <w:t>优先B级</w:t>
            </w:r>
            <w:r>
              <w:rPr>
                <w:rFonts w:eastAsia="楷体_GB2312"/>
                <w:b/>
                <w:szCs w:val="21"/>
              </w:rPr>
              <w:t>/</w:t>
            </w:r>
            <w:r>
              <w:rPr>
                <w:rFonts w:eastAsia="楷体_GB2312"/>
                <w:szCs w:val="21"/>
              </w:rPr>
              <w:t>次级资产支持证券的结构实现信用增级：</w:t>
            </w:r>
          </w:p>
        </w:tc>
      </w:tr>
      <w:tr w14:paraId="1E8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tcBorders>
              <w:top w:val="nil"/>
              <w:left w:val="single" w:color="auto" w:sz="4" w:space="0"/>
              <w:bottom w:val="nil"/>
              <w:right w:val="single" w:color="auto" w:sz="4" w:space="0"/>
            </w:tcBorders>
          </w:tcPr>
          <w:p w14:paraId="60545660">
            <w:pPr>
              <w:widowControl/>
              <w:spacing w:line="360" w:lineRule="auto"/>
              <w:jc w:val="left"/>
              <w:rPr>
                <w:rFonts w:eastAsia="楷体_GB2312"/>
                <w:szCs w:val="21"/>
              </w:rPr>
            </w:pPr>
            <w:r>
              <w:rPr>
                <w:rFonts w:eastAsia="楷体_GB2312"/>
                <w:szCs w:val="21"/>
              </w:rPr>
              <w:t>资产支持证券分层结构情况</w:t>
            </w:r>
          </w:p>
        </w:tc>
      </w:tr>
      <w:tr w14:paraId="52D7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nil"/>
              <w:left w:val="single" w:color="auto" w:sz="4" w:space="0"/>
              <w:bottom w:val="single" w:color="auto" w:sz="4" w:space="0"/>
              <w:right w:val="nil"/>
            </w:tcBorders>
          </w:tcPr>
          <w:p w14:paraId="0E34B575">
            <w:pPr>
              <w:widowControl/>
              <w:spacing w:line="360" w:lineRule="auto"/>
              <w:jc w:val="left"/>
              <w:rPr>
                <w:rFonts w:eastAsia="楷体_GB2312"/>
                <w:sz w:val="18"/>
              </w:rPr>
            </w:pPr>
          </w:p>
        </w:tc>
        <w:tc>
          <w:tcPr>
            <w:tcW w:w="3241" w:type="dxa"/>
            <w:tcBorders>
              <w:top w:val="nil"/>
              <w:left w:val="nil"/>
              <w:bottom w:val="single" w:color="auto" w:sz="4" w:space="0"/>
              <w:right w:val="nil"/>
            </w:tcBorders>
            <w:shd w:val="clear" w:color="auto" w:fill="C0C0C0"/>
          </w:tcPr>
          <w:p w14:paraId="17220C0B">
            <w:pPr>
              <w:widowControl/>
              <w:spacing w:line="360" w:lineRule="auto"/>
              <w:jc w:val="center"/>
              <w:rPr>
                <w:rFonts w:eastAsia="楷体_GB2312"/>
                <w:sz w:val="18"/>
                <w:lang w:eastAsia="zh-TW"/>
              </w:rPr>
            </w:pPr>
            <w:r>
              <w:rPr>
                <w:rFonts w:eastAsia="楷体_GB2312"/>
                <w:sz w:val="18"/>
                <w:lang w:eastAsia="zh-TW"/>
              </w:rPr>
              <w:t>本金期末余额</w:t>
            </w:r>
          </w:p>
        </w:tc>
        <w:tc>
          <w:tcPr>
            <w:tcW w:w="2652" w:type="dxa"/>
            <w:tcBorders>
              <w:top w:val="nil"/>
              <w:left w:val="nil"/>
              <w:bottom w:val="single" w:color="auto" w:sz="4" w:space="0"/>
              <w:right w:val="single" w:color="auto" w:sz="4" w:space="0"/>
            </w:tcBorders>
            <w:shd w:val="clear" w:color="auto" w:fill="C0C0C0"/>
          </w:tcPr>
          <w:p w14:paraId="1034C0DD">
            <w:pPr>
              <w:widowControl/>
              <w:spacing w:line="360" w:lineRule="auto"/>
              <w:jc w:val="left"/>
              <w:rPr>
                <w:rFonts w:eastAsia="楷体_GB2312"/>
                <w:sz w:val="18"/>
              </w:rPr>
            </w:pPr>
            <w:r>
              <w:rPr>
                <w:rFonts w:eastAsia="楷体_GB2312"/>
                <w:sz w:val="18"/>
              </w:rPr>
              <w:t>占本金总金额的百分比（%）</w:t>
            </w:r>
          </w:p>
        </w:tc>
      </w:tr>
      <w:tr w14:paraId="2162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Borders>
              <w:top w:val="single" w:color="auto" w:sz="4" w:space="0"/>
              <w:left w:val="single" w:color="auto" w:sz="4" w:space="0"/>
              <w:right w:val="single" w:color="auto" w:sz="4" w:space="0"/>
            </w:tcBorders>
          </w:tcPr>
          <w:p w14:paraId="35473D42">
            <w:pPr>
              <w:widowControl/>
              <w:spacing w:line="360" w:lineRule="auto"/>
              <w:jc w:val="left"/>
              <w:rPr>
                <w:rFonts w:eastAsia="楷体_GB2312"/>
                <w:sz w:val="18"/>
                <w:lang w:eastAsia="zh-TW"/>
              </w:rPr>
            </w:pPr>
            <w:r>
              <w:rPr>
                <w:rFonts w:eastAsia="楷体_GB2312"/>
                <w:sz w:val="18"/>
                <w:lang w:eastAsia="zh-TW"/>
              </w:rPr>
              <w:t>优先A级</w:t>
            </w:r>
          </w:p>
        </w:tc>
        <w:tc>
          <w:tcPr>
            <w:tcW w:w="3241" w:type="dxa"/>
            <w:tcBorders>
              <w:top w:val="single" w:color="auto" w:sz="4" w:space="0"/>
              <w:left w:val="single" w:color="auto" w:sz="4" w:space="0"/>
              <w:bottom w:val="single" w:color="auto" w:sz="4" w:space="0"/>
              <w:right w:val="single" w:color="auto" w:sz="4" w:space="0"/>
            </w:tcBorders>
          </w:tcPr>
          <w:p w14:paraId="0905EDCA">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43800592">
            <w:pPr>
              <w:widowControl/>
              <w:spacing w:line="360" w:lineRule="auto"/>
              <w:jc w:val="left"/>
              <w:rPr>
                <w:rFonts w:eastAsia="楷体_GB2312"/>
                <w:sz w:val="18"/>
                <w:szCs w:val="18"/>
                <w:lang w:eastAsia="zh-TW"/>
              </w:rPr>
            </w:pPr>
          </w:p>
        </w:tc>
      </w:tr>
      <w:tr w14:paraId="060F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627" w:type="dxa"/>
            <w:tcBorders>
              <w:left w:val="single" w:color="auto" w:sz="4" w:space="0"/>
              <w:bottom w:val="single" w:color="auto" w:sz="4" w:space="0"/>
              <w:right w:val="single" w:color="auto" w:sz="4" w:space="0"/>
            </w:tcBorders>
            <w:vAlign w:val="center"/>
          </w:tcPr>
          <w:p w14:paraId="5C9A288A">
            <w:pPr>
              <w:widowControl/>
              <w:spacing w:line="360" w:lineRule="auto"/>
              <w:jc w:val="left"/>
              <w:rPr>
                <w:rFonts w:eastAsia="楷体_GB2312"/>
                <w:sz w:val="18"/>
              </w:rPr>
            </w:pPr>
            <w:r>
              <w:rPr>
                <w:rFonts w:eastAsia="楷体_GB2312"/>
                <w:sz w:val="18"/>
                <w:lang w:eastAsia="zh-TW"/>
              </w:rPr>
              <w:t>优先B级</w:t>
            </w:r>
          </w:p>
        </w:tc>
        <w:tc>
          <w:tcPr>
            <w:tcW w:w="3241" w:type="dxa"/>
            <w:tcBorders>
              <w:top w:val="single" w:color="auto" w:sz="4" w:space="0"/>
              <w:left w:val="single" w:color="auto" w:sz="4" w:space="0"/>
              <w:bottom w:val="single" w:color="auto" w:sz="4" w:space="0"/>
              <w:right w:val="single" w:color="auto" w:sz="4" w:space="0"/>
            </w:tcBorders>
          </w:tcPr>
          <w:p w14:paraId="211213A5">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4D886ECB">
            <w:pPr>
              <w:widowControl/>
              <w:spacing w:line="360" w:lineRule="auto"/>
              <w:jc w:val="left"/>
              <w:rPr>
                <w:rFonts w:eastAsia="楷体_GB2312"/>
                <w:sz w:val="18"/>
                <w:szCs w:val="18"/>
                <w:lang w:eastAsia="zh-TW"/>
              </w:rPr>
            </w:pPr>
          </w:p>
        </w:tc>
      </w:tr>
      <w:tr w14:paraId="5AE6A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single" w:color="auto" w:sz="4" w:space="0"/>
              <w:left w:val="single" w:color="auto" w:sz="4" w:space="0"/>
              <w:bottom w:val="single" w:color="auto" w:sz="4" w:space="0"/>
              <w:right w:val="single" w:color="auto" w:sz="4" w:space="0"/>
            </w:tcBorders>
          </w:tcPr>
          <w:p w14:paraId="0FD86D67">
            <w:pPr>
              <w:widowControl/>
              <w:spacing w:line="360" w:lineRule="auto"/>
              <w:jc w:val="left"/>
              <w:rPr>
                <w:rFonts w:eastAsia="楷体_GB2312"/>
                <w:sz w:val="18"/>
                <w:lang w:eastAsia="zh-TW"/>
              </w:rPr>
            </w:pPr>
            <w:r>
              <w:rPr>
                <w:rFonts w:eastAsia="楷体_GB2312"/>
                <w:sz w:val="18"/>
              </w:rPr>
              <w:t>次级</w:t>
            </w:r>
          </w:p>
        </w:tc>
        <w:tc>
          <w:tcPr>
            <w:tcW w:w="3241" w:type="dxa"/>
            <w:tcBorders>
              <w:top w:val="single" w:color="auto" w:sz="4" w:space="0"/>
              <w:left w:val="single" w:color="auto" w:sz="4" w:space="0"/>
              <w:bottom w:val="single" w:color="auto" w:sz="4" w:space="0"/>
              <w:right w:val="single" w:color="auto" w:sz="4" w:space="0"/>
            </w:tcBorders>
          </w:tcPr>
          <w:p w14:paraId="7CE9C10F">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2EA068F1">
            <w:pPr>
              <w:widowControl/>
              <w:spacing w:line="360" w:lineRule="auto"/>
              <w:jc w:val="left"/>
              <w:rPr>
                <w:rFonts w:eastAsia="楷体_GB2312"/>
                <w:sz w:val="18"/>
                <w:lang w:eastAsia="zh-TW"/>
              </w:rPr>
            </w:pPr>
          </w:p>
        </w:tc>
      </w:tr>
      <w:tr w14:paraId="1482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7" w:type="dxa"/>
            <w:tcBorders>
              <w:top w:val="single" w:color="auto" w:sz="4" w:space="0"/>
              <w:left w:val="single" w:color="auto" w:sz="4" w:space="0"/>
              <w:bottom w:val="single" w:color="auto" w:sz="4" w:space="0"/>
              <w:right w:val="single" w:color="auto" w:sz="4" w:space="0"/>
            </w:tcBorders>
          </w:tcPr>
          <w:p w14:paraId="5EDC4CEF">
            <w:pPr>
              <w:widowControl/>
              <w:tabs>
                <w:tab w:val="left" w:pos="555"/>
              </w:tabs>
              <w:spacing w:line="360" w:lineRule="auto"/>
              <w:jc w:val="left"/>
              <w:rPr>
                <w:rFonts w:eastAsia="楷体_GB2312"/>
                <w:sz w:val="18"/>
                <w:lang w:eastAsia="zh-TW"/>
              </w:rPr>
            </w:pPr>
            <w:r>
              <w:rPr>
                <w:rFonts w:eastAsia="楷体_GB2312"/>
                <w:sz w:val="18"/>
                <w:lang w:eastAsia="zh-TW"/>
              </w:rPr>
              <w:t>合计</w:t>
            </w:r>
          </w:p>
        </w:tc>
        <w:tc>
          <w:tcPr>
            <w:tcW w:w="3241" w:type="dxa"/>
            <w:tcBorders>
              <w:top w:val="single" w:color="auto" w:sz="4" w:space="0"/>
              <w:left w:val="single" w:color="auto" w:sz="4" w:space="0"/>
              <w:bottom w:val="single" w:color="auto" w:sz="4" w:space="0"/>
              <w:right w:val="single" w:color="auto" w:sz="4" w:space="0"/>
            </w:tcBorders>
          </w:tcPr>
          <w:p w14:paraId="44804E02">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093D6CC2">
            <w:pPr>
              <w:widowControl/>
              <w:spacing w:line="360" w:lineRule="auto"/>
              <w:jc w:val="left"/>
              <w:rPr>
                <w:rFonts w:eastAsia="楷体_GB2312"/>
                <w:sz w:val="18"/>
                <w:lang w:eastAsia="zh-TW"/>
              </w:rPr>
            </w:pPr>
          </w:p>
        </w:tc>
      </w:tr>
      <w:tr w14:paraId="6207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627" w:type="dxa"/>
            <w:tcBorders>
              <w:top w:val="single" w:color="auto" w:sz="4" w:space="0"/>
              <w:left w:val="single" w:color="auto" w:sz="4" w:space="0"/>
              <w:bottom w:val="single" w:color="auto" w:sz="4" w:space="0"/>
              <w:right w:val="single" w:color="auto" w:sz="4" w:space="0"/>
            </w:tcBorders>
          </w:tcPr>
          <w:p w14:paraId="5D3820CA">
            <w:pPr>
              <w:widowControl/>
              <w:spacing w:line="360" w:lineRule="auto"/>
              <w:jc w:val="left"/>
              <w:rPr>
                <w:rFonts w:eastAsia="楷体_GB2312"/>
                <w:sz w:val="18"/>
                <w:lang w:eastAsia="zh-TW"/>
              </w:rPr>
            </w:pPr>
          </w:p>
        </w:tc>
        <w:tc>
          <w:tcPr>
            <w:tcW w:w="3241" w:type="dxa"/>
            <w:tcBorders>
              <w:top w:val="single" w:color="auto" w:sz="4" w:space="0"/>
              <w:left w:val="single" w:color="auto" w:sz="4" w:space="0"/>
              <w:bottom w:val="single" w:color="auto" w:sz="4" w:space="0"/>
              <w:right w:val="single" w:color="auto" w:sz="4" w:space="0"/>
            </w:tcBorders>
          </w:tcPr>
          <w:p w14:paraId="4D4ED7A6">
            <w:pPr>
              <w:widowControl/>
              <w:spacing w:line="360" w:lineRule="auto"/>
              <w:jc w:val="left"/>
              <w:rPr>
                <w:rFonts w:eastAsia="楷体_GB2312"/>
                <w:sz w:val="18"/>
                <w:lang w:eastAsia="zh-TW"/>
              </w:rPr>
            </w:pPr>
          </w:p>
        </w:tc>
        <w:tc>
          <w:tcPr>
            <w:tcW w:w="2652" w:type="dxa"/>
            <w:tcBorders>
              <w:top w:val="single" w:color="auto" w:sz="4" w:space="0"/>
              <w:left w:val="single" w:color="auto" w:sz="4" w:space="0"/>
              <w:bottom w:val="single" w:color="auto" w:sz="4" w:space="0"/>
              <w:right w:val="single" w:color="auto" w:sz="4" w:space="0"/>
            </w:tcBorders>
          </w:tcPr>
          <w:p w14:paraId="64B3D537">
            <w:pPr>
              <w:widowControl/>
              <w:spacing w:line="360" w:lineRule="auto"/>
              <w:jc w:val="left"/>
              <w:rPr>
                <w:rFonts w:eastAsia="楷体_GB2312"/>
                <w:sz w:val="18"/>
                <w:lang w:eastAsia="zh-TW"/>
              </w:rPr>
            </w:pPr>
          </w:p>
        </w:tc>
      </w:tr>
    </w:tbl>
    <w:p w14:paraId="5944A1D0">
      <w:pPr>
        <w:rPr>
          <w:rFonts w:eastAsia="楷体_GB2312"/>
        </w:rPr>
      </w:pPr>
    </w:p>
    <w:p w14:paraId="39009D87">
      <w:pPr>
        <w:widowControl/>
        <w:jc w:val="left"/>
        <w:rPr>
          <w:rFonts w:eastAsia="楷体_GB2312"/>
        </w:rPr>
      </w:pPr>
      <w:r>
        <w:rPr>
          <w:rFonts w:eastAsia="楷体_GB2312"/>
        </w:rPr>
        <w:br w:type="page"/>
      </w:r>
    </w:p>
    <w:tbl>
      <w:tblPr>
        <w:tblStyle w:val="27"/>
        <w:tblW w:w="879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2"/>
        <w:gridCol w:w="1276"/>
        <w:gridCol w:w="4542"/>
      </w:tblGrid>
      <w:tr w14:paraId="34EBB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0" w:type="dxa"/>
            <w:gridSpan w:val="3"/>
            <w:tcBorders>
              <w:top w:val="single" w:color="auto" w:sz="4" w:space="0"/>
              <w:left w:val="single" w:color="auto" w:sz="4" w:space="0"/>
              <w:bottom w:val="single" w:color="auto" w:sz="4" w:space="0"/>
              <w:right w:val="single" w:color="auto" w:sz="4" w:space="0"/>
            </w:tcBorders>
          </w:tcPr>
          <w:p w14:paraId="67A80C46">
            <w:pPr>
              <w:widowControl/>
              <w:spacing w:line="360" w:lineRule="auto"/>
              <w:jc w:val="center"/>
              <w:rPr>
                <w:rFonts w:eastAsia="楷体_GB2312"/>
                <w:b/>
                <w:sz w:val="28"/>
              </w:rPr>
            </w:pPr>
            <w:r>
              <w:rPr>
                <w:rFonts w:eastAsia="楷体_GB2312"/>
                <w:b/>
                <w:sz w:val="28"/>
              </w:rPr>
              <w:t>【信托名称】受托机构报告</w:t>
            </w:r>
          </w:p>
        </w:tc>
      </w:tr>
      <w:tr w14:paraId="6606C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0" w:type="dxa"/>
            <w:gridSpan w:val="3"/>
            <w:tcBorders>
              <w:top w:val="single" w:color="auto" w:sz="4" w:space="0"/>
              <w:left w:val="single" w:color="auto" w:sz="4" w:space="0"/>
              <w:bottom w:val="single" w:color="auto" w:sz="4" w:space="0"/>
              <w:right w:val="single" w:color="auto" w:sz="4" w:space="0"/>
            </w:tcBorders>
          </w:tcPr>
          <w:p w14:paraId="51DEA903">
            <w:pPr>
              <w:widowControl/>
              <w:spacing w:line="360" w:lineRule="auto"/>
              <w:jc w:val="left"/>
              <w:rPr>
                <w:rFonts w:eastAsia="楷体_GB2312"/>
                <w:b/>
                <w:sz w:val="18"/>
              </w:rPr>
            </w:pPr>
            <w:r>
              <w:rPr>
                <w:rFonts w:eastAsia="楷体_GB2312"/>
                <w:b/>
                <w:sz w:val="24"/>
              </w:rPr>
              <w:t>七、对证券化信托财产和信托事务管理产生重大影响的事项</w:t>
            </w:r>
          </w:p>
        </w:tc>
      </w:tr>
      <w:tr w14:paraId="778FA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2C34EE7E">
            <w:pPr>
              <w:widowControl/>
              <w:spacing w:line="360" w:lineRule="auto"/>
              <w:jc w:val="left"/>
              <w:rPr>
                <w:rFonts w:eastAsia="楷体_GB2312"/>
                <w:b/>
                <w:sz w:val="24"/>
                <w:lang w:eastAsia="zh-TW"/>
              </w:rPr>
            </w:pPr>
            <w:r>
              <w:rPr>
                <w:rFonts w:eastAsia="楷体_GB2312"/>
                <w:b/>
                <w:sz w:val="24"/>
                <w:lang w:eastAsia="zh-TW"/>
              </w:rPr>
              <w:t>事项</w:t>
            </w:r>
          </w:p>
        </w:tc>
        <w:tc>
          <w:tcPr>
            <w:tcW w:w="1276" w:type="dxa"/>
            <w:tcBorders>
              <w:top w:val="single" w:color="auto" w:sz="4" w:space="0"/>
              <w:left w:val="single" w:color="auto" w:sz="4" w:space="0"/>
              <w:bottom w:val="single" w:color="auto" w:sz="4" w:space="0"/>
              <w:right w:val="single" w:color="auto" w:sz="4" w:space="0"/>
            </w:tcBorders>
          </w:tcPr>
          <w:p w14:paraId="05AE2C39">
            <w:pPr>
              <w:widowControl/>
              <w:spacing w:line="360" w:lineRule="auto"/>
              <w:jc w:val="center"/>
              <w:rPr>
                <w:rFonts w:eastAsia="楷体_GB2312"/>
                <w:b/>
                <w:sz w:val="24"/>
                <w:lang w:eastAsia="zh-TW"/>
              </w:rPr>
            </w:pPr>
            <w:r>
              <w:rPr>
                <w:rFonts w:eastAsia="楷体_GB2312"/>
                <w:b/>
                <w:sz w:val="24"/>
                <w:lang w:eastAsia="zh-TW"/>
              </w:rPr>
              <w:t>是否发生</w:t>
            </w:r>
          </w:p>
        </w:tc>
        <w:tc>
          <w:tcPr>
            <w:tcW w:w="4542" w:type="dxa"/>
            <w:tcBorders>
              <w:top w:val="single" w:color="auto" w:sz="4" w:space="0"/>
              <w:left w:val="single" w:color="auto" w:sz="4" w:space="0"/>
              <w:bottom w:val="single" w:color="auto" w:sz="4" w:space="0"/>
              <w:right w:val="single" w:color="auto" w:sz="4" w:space="0"/>
            </w:tcBorders>
          </w:tcPr>
          <w:p w14:paraId="05E32F06">
            <w:pPr>
              <w:widowControl/>
              <w:spacing w:line="360" w:lineRule="auto"/>
              <w:jc w:val="center"/>
              <w:rPr>
                <w:rFonts w:eastAsia="楷体_GB2312"/>
                <w:b/>
                <w:sz w:val="24"/>
                <w:lang w:eastAsia="zh-TW"/>
              </w:rPr>
            </w:pPr>
            <w:r>
              <w:rPr>
                <w:rFonts w:eastAsia="楷体_GB2312"/>
                <w:b/>
                <w:sz w:val="24"/>
                <w:lang w:eastAsia="zh-TW"/>
              </w:rPr>
              <w:t>情况简述</w:t>
            </w:r>
          </w:p>
        </w:tc>
      </w:tr>
      <w:tr w14:paraId="06E06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5C474D11">
            <w:pPr>
              <w:widowControl/>
              <w:spacing w:line="360" w:lineRule="auto"/>
              <w:jc w:val="left"/>
              <w:rPr>
                <w:rFonts w:eastAsia="楷体_GB2312"/>
                <w:sz w:val="18"/>
                <w:lang w:eastAsia="zh-TW"/>
              </w:rPr>
            </w:pPr>
            <w:r>
              <w:rPr>
                <w:rFonts w:eastAsia="楷体_GB2312"/>
                <w:lang w:eastAsia="zh-TW"/>
              </w:rPr>
              <w:t>1.加速清偿事件</w:t>
            </w:r>
          </w:p>
        </w:tc>
        <w:tc>
          <w:tcPr>
            <w:tcW w:w="1276" w:type="dxa"/>
            <w:tcBorders>
              <w:top w:val="single" w:color="auto" w:sz="4" w:space="0"/>
              <w:left w:val="single" w:color="auto" w:sz="4" w:space="0"/>
              <w:bottom w:val="single" w:color="auto" w:sz="4" w:space="0"/>
              <w:right w:val="single" w:color="auto" w:sz="4" w:space="0"/>
            </w:tcBorders>
          </w:tcPr>
          <w:p w14:paraId="3664684F">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45025E17">
            <w:pPr>
              <w:widowControl/>
              <w:spacing w:line="360" w:lineRule="auto"/>
              <w:jc w:val="center"/>
              <w:rPr>
                <w:rFonts w:eastAsia="楷体_GB2312"/>
                <w:sz w:val="18"/>
                <w:lang w:eastAsia="zh-TW"/>
              </w:rPr>
            </w:pPr>
          </w:p>
        </w:tc>
      </w:tr>
      <w:tr w14:paraId="33F4A2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69A10FD2">
            <w:pPr>
              <w:widowControl/>
              <w:spacing w:line="360" w:lineRule="auto"/>
              <w:jc w:val="left"/>
              <w:rPr>
                <w:rFonts w:eastAsia="楷体_GB2312"/>
                <w:lang w:eastAsia="zh-TW"/>
              </w:rPr>
            </w:pPr>
            <w:r>
              <w:rPr>
                <w:rFonts w:eastAsia="楷体_GB2312"/>
                <w:lang w:eastAsia="zh-TW"/>
              </w:rPr>
              <w:t>2.违约事件</w:t>
            </w:r>
          </w:p>
        </w:tc>
        <w:tc>
          <w:tcPr>
            <w:tcW w:w="1276" w:type="dxa"/>
            <w:tcBorders>
              <w:top w:val="single" w:color="auto" w:sz="4" w:space="0"/>
              <w:left w:val="single" w:color="auto" w:sz="4" w:space="0"/>
              <w:bottom w:val="single" w:color="auto" w:sz="4" w:space="0"/>
              <w:right w:val="single" w:color="auto" w:sz="4" w:space="0"/>
            </w:tcBorders>
          </w:tcPr>
          <w:p w14:paraId="62E8CEB8">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184F441C">
            <w:pPr>
              <w:widowControl/>
              <w:spacing w:line="360" w:lineRule="auto"/>
              <w:jc w:val="center"/>
              <w:rPr>
                <w:rFonts w:eastAsia="楷体_GB2312"/>
                <w:sz w:val="18"/>
                <w:lang w:eastAsia="zh-TW"/>
              </w:rPr>
            </w:pPr>
          </w:p>
        </w:tc>
      </w:tr>
      <w:tr w14:paraId="353E2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4B15F733">
            <w:pPr>
              <w:widowControl/>
              <w:spacing w:line="360" w:lineRule="auto"/>
              <w:jc w:val="left"/>
              <w:rPr>
                <w:rFonts w:eastAsia="楷体_GB2312"/>
                <w:lang w:eastAsia="zh-TW"/>
              </w:rPr>
            </w:pPr>
            <w:r>
              <w:rPr>
                <w:rFonts w:eastAsia="楷体_GB2312"/>
                <w:lang w:eastAsia="zh-TW"/>
              </w:rPr>
              <w:t>3.权利完善事件</w:t>
            </w:r>
            <w:r>
              <w:rPr>
                <w:rFonts w:hint="eastAsia" w:eastAsia="楷体_GB2312"/>
              </w:rPr>
              <w:t>/</w:t>
            </w:r>
            <w:r>
              <w:rPr>
                <w:rFonts w:eastAsia="楷体_GB2312"/>
                <w:lang w:eastAsia="zh-TW"/>
              </w:rPr>
              <w:t>个别通知事件</w:t>
            </w:r>
          </w:p>
        </w:tc>
        <w:tc>
          <w:tcPr>
            <w:tcW w:w="1276" w:type="dxa"/>
            <w:tcBorders>
              <w:top w:val="single" w:color="auto" w:sz="4" w:space="0"/>
              <w:left w:val="single" w:color="auto" w:sz="4" w:space="0"/>
              <w:bottom w:val="single" w:color="auto" w:sz="4" w:space="0"/>
              <w:right w:val="single" w:color="auto" w:sz="4" w:space="0"/>
            </w:tcBorders>
          </w:tcPr>
          <w:p w14:paraId="24B934DF">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702E2494">
            <w:pPr>
              <w:widowControl/>
              <w:spacing w:line="360" w:lineRule="auto"/>
              <w:jc w:val="center"/>
              <w:rPr>
                <w:rFonts w:eastAsia="楷体_GB2312"/>
                <w:sz w:val="18"/>
                <w:lang w:eastAsia="zh-TW"/>
              </w:rPr>
            </w:pPr>
          </w:p>
        </w:tc>
      </w:tr>
      <w:tr w14:paraId="1AE6D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31CA341A">
            <w:pPr>
              <w:widowControl/>
              <w:spacing w:line="360" w:lineRule="auto"/>
              <w:jc w:val="left"/>
              <w:rPr>
                <w:rFonts w:eastAsia="楷体_GB2312"/>
                <w:sz w:val="18"/>
              </w:rPr>
            </w:pPr>
            <w:r>
              <w:rPr>
                <w:rFonts w:hint="eastAsia" w:eastAsia="楷体_GB2312"/>
              </w:rPr>
              <w:t>4</w:t>
            </w:r>
            <w:r>
              <w:rPr>
                <w:rFonts w:eastAsia="楷体_GB2312"/>
                <w:lang w:eastAsia="zh-TW"/>
              </w:rPr>
              <w:t>.赎回</w:t>
            </w:r>
          </w:p>
        </w:tc>
        <w:tc>
          <w:tcPr>
            <w:tcW w:w="1276" w:type="dxa"/>
            <w:tcBorders>
              <w:top w:val="single" w:color="auto" w:sz="4" w:space="0"/>
              <w:left w:val="single" w:color="auto" w:sz="4" w:space="0"/>
              <w:bottom w:val="single" w:color="auto" w:sz="4" w:space="0"/>
              <w:right w:val="single" w:color="auto" w:sz="4" w:space="0"/>
            </w:tcBorders>
          </w:tcPr>
          <w:p w14:paraId="353D8F94">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15B9FB35">
            <w:pPr>
              <w:widowControl/>
              <w:spacing w:line="360" w:lineRule="auto"/>
              <w:jc w:val="center"/>
              <w:rPr>
                <w:rFonts w:eastAsia="楷体_GB2312"/>
                <w:sz w:val="18"/>
                <w:lang w:eastAsia="zh-TW"/>
              </w:rPr>
            </w:pPr>
          </w:p>
        </w:tc>
      </w:tr>
      <w:tr w14:paraId="021EE1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25B70EB3">
            <w:pPr>
              <w:widowControl/>
              <w:spacing w:line="360" w:lineRule="auto"/>
              <w:jc w:val="left"/>
              <w:rPr>
                <w:rFonts w:eastAsia="楷体_GB2312"/>
              </w:rPr>
            </w:pPr>
            <w:r>
              <w:rPr>
                <w:rFonts w:hint="eastAsia" w:eastAsia="楷体_GB2312"/>
              </w:rPr>
              <w:t>5</w:t>
            </w:r>
            <w:r>
              <w:rPr>
                <w:rFonts w:eastAsia="楷体_GB2312"/>
                <w:lang w:eastAsia="zh-TW"/>
              </w:rPr>
              <w:t>.清仓回购</w:t>
            </w:r>
          </w:p>
        </w:tc>
        <w:tc>
          <w:tcPr>
            <w:tcW w:w="1276" w:type="dxa"/>
            <w:tcBorders>
              <w:top w:val="single" w:color="auto" w:sz="4" w:space="0"/>
              <w:left w:val="single" w:color="auto" w:sz="4" w:space="0"/>
              <w:bottom w:val="single" w:color="auto" w:sz="4" w:space="0"/>
              <w:right w:val="single" w:color="auto" w:sz="4" w:space="0"/>
            </w:tcBorders>
          </w:tcPr>
          <w:p w14:paraId="7ABBBA3F">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0EE4FF32">
            <w:pPr>
              <w:widowControl/>
              <w:spacing w:line="360" w:lineRule="auto"/>
              <w:jc w:val="center"/>
              <w:rPr>
                <w:rFonts w:eastAsia="楷体_GB2312"/>
                <w:sz w:val="18"/>
                <w:lang w:eastAsia="zh-TW"/>
              </w:rPr>
            </w:pPr>
          </w:p>
        </w:tc>
      </w:tr>
      <w:tr w14:paraId="1B946D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75CA527C">
            <w:pPr>
              <w:widowControl/>
              <w:spacing w:line="360" w:lineRule="auto"/>
              <w:jc w:val="left"/>
              <w:rPr>
                <w:rFonts w:eastAsia="楷体_GB2312"/>
                <w:lang w:eastAsia="zh-TW"/>
              </w:rPr>
            </w:pPr>
            <w:r>
              <w:rPr>
                <w:rFonts w:hint="eastAsia" w:eastAsia="楷体_GB2312"/>
              </w:rPr>
              <w:t>6</w:t>
            </w:r>
            <w:r>
              <w:rPr>
                <w:rFonts w:eastAsia="楷体_GB2312"/>
                <w:lang w:eastAsia="zh-TW"/>
              </w:rPr>
              <w:t>.丧失清偿能力事件</w:t>
            </w:r>
          </w:p>
        </w:tc>
        <w:tc>
          <w:tcPr>
            <w:tcW w:w="1276" w:type="dxa"/>
            <w:tcBorders>
              <w:top w:val="single" w:color="auto" w:sz="4" w:space="0"/>
              <w:left w:val="single" w:color="auto" w:sz="4" w:space="0"/>
              <w:bottom w:val="single" w:color="auto" w:sz="4" w:space="0"/>
              <w:right w:val="single" w:color="auto" w:sz="4" w:space="0"/>
            </w:tcBorders>
          </w:tcPr>
          <w:p w14:paraId="6DCB6265">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2E8ABD7F">
            <w:pPr>
              <w:widowControl/>
              <w:spacing w:line="360" w:lineRule="auto"/>
              <w:jc w:val="center"/>
              <w:rPr>
                <w:rFonts w:eastAsia="楷体_GB2312"/>
                <w:sz w:val="18"/>
                <w:lang w:eastAsia="zh-TW"/>
              </w:rPr>
            </w:pPr>
          </w:p>
        </w:tc>
      </w:tr>
      <w:tr w14:paraId="45D6D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30DECEC1">
            <w:pPr>
              <w:widowControl/>
              <w:spacing w:line="360" w:lineRule="auto"/>
              <w:jc w:val="left"/>
              <w:rPr>
                <w:rFonts w:eastAsia="楷体_GB2312"/>
                <w:lang w:eastAsia="zh-TW"/>
              </w:rPr>
            </w:pPr>
            <w:r>
              <w:rPr>
                <w:rFonts w:hint="eastAsia" w:eastAsia="楷体_GB2312"/>
              </w:rPr>
              <w:t>7</w:t>
            </w:r>
            <w:r>
              <w:rPr>
                <w:rFonts w:eastAsia="楷体_GB2312"/>
                <w:lang w:eastAsia="zh-TW"/>
              </w:rPr>
              <w:t>.受托机构终止事件</w:t>
            </w:r>
          </w:p>
        </w:tc>
        <w:tc>
          <w:tcPr>
            <w:tcW w:w="1276" w:type="dxa"/>
            <w:tcBorders>
              <w:top w:val="single" w:color="auto" w:sz="4" w:space="0"/>
              <w:left w:val="single" w:color="auto" w:sz="4" w:space="0"/>
              <w:bottom w:val="single" w:color="auto" w:sz="4" w:space="0"/>
              <w:right w:val="single" w:color="auto" w:sz="4" w:space="0"/>
            </w:tcBorders>
          </w:tcPr>
          <w:p w14:paraId="6EAE7EBA">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3740A3C0">
            <w:pPr>
              <w:widowControl/>
              <w:spacing w:line="360" w:lineRule="auto"/>
              <w:jc w:val="center"/>
              <w:rPr>
                <w:rFonts w:eastAsia="楷体_GB2312"/>
                <w:sz w:val="18"/>
                <w:lang w:eastAsia="zh-TW"/>
              </w:rPr>
            </w:pPr>
          </w:p>
        </w:tc>
      </w:tr>
      <w:tr w14:paraId="4DBDC6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5D46B849">
            <w:pPr>
              <w:widowControl/>
              <w:spacing w:line="360" w:lineRule="auto"/>
              <w:jc w:val="left"/>
              <w:rPr>
                <w:rFonts w:eastAsia="楷体_GB2312"/>
                <w:lang w:eastAsia="zh-TW"/>
              </w:rPr>
            </w:pPr>
            <w:r>
              <w:rPr>
                <w:rFonts w:hint="eastAsia" w:eastAsia="楷体_GB2312"/>
              </w:rPr>
              <w:t>8</w:t>
            </w:r>
            <w:r>
              <w:rPr>
                <w:rFonts w:eastAsia="楷体_GB2312"/>
              </w:rPr>
              <w:t>.重大不利变化</w:t>
            </w:r>
          </w:p>
        </w:tc>
        <w:tc>
          <w:tcPr>
            <w:tcW w:w="1276" w:type="dxa"/>
            <w:tcBorders>
              <w:top w:val="single" w:color="auto" w:sz="4" w:space="0"/>
              <w:left w:val="single" w:color="auto" w:sz="4" w:space="0"/>
              <w:bottom w:val="single" w:color="auto" w:sz="4" w:space="0"/>
              <w:right w:val="single" w:color="auto" w:sz="4" w:space="0"/>
            </w:tcBorders>
          </w:tcPr>
          <w:p w14:paraId="7D18B2FD">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37979862">
            <w:pPr>
              <w:widowControl/>
              <w:spacing w:line="360" w:lineRule="auto"/>
              <w:jc w:val="center"/>
              <w:rPr>
                <w:rFonts w:eastAsia="楷体_GB2312"/>
                <w:sz w:val="18"/>
                <w:lang w:eastAsia="zh-TW"/>
              </w:rPr>
            </w:pPr>
          </w:p>
        </w:tc>
      </w:tr>
      <w:tr w14:paraId="4CF04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0481D46A">
            <w:pPr>
              <w:widowControl/>
              <w:spacing w:line="360" w:lineRule="auto"/>
              <w:jc w:val="left"/>
              <w:rPr>
                <w:rFonts w:eastAsia="楷体_GB2312"/>
              </w:rPr>
            </w:pPr>
            <w:r>
              <w:rPr>
                <w:rFonts w:hint="eastAsia" w:eastAsia="楷体_GB2312"/>
              </w:rPr>
              <w:t>9</w:t>
            </w:r>
            <w:r>
              <w:rPr>
                <w:rFonts w:eastAsia="楷体_GB2312"/>
                <w:lang w:eastAsia="zh-TW"/>
              </w:rPr>
              <w:t>.重大不利影响</w:t>
            </w:r>
          </w:p>
        </w:tc>
        <w:tc>
          <w:tcPr>
            <w:tcW w:w="1276" w:type="dxa"/>
            <w:tcBorders>
              <w:top w:val="single" w:color="auto" w:sz="4" w:space="0"/>
              <w:left w:val="single" w:color="auto" w:sz="4" w:space="0"/>
              <w:bottom w:val="single" w:color="auto" w:sz="4" w:space="0"/>
              <w:right w:val="single" w:color="auto" w:sz="4" w:space="0"/>
            </w:tcBorders>
          </w:tcPr>
          <w:p w14:paraId="03BEA3BA">
            <w:pPr>
              <w:widowControl/>
              <w:spacing w:line="360" w:lineRule="auto"/>
              <w:jc w:val="center"/>
              <w:rPr>
                <w:rFonts w:eastAsia="楷体_GB2312"/>
                <w:sz w:val="18"/>
                <w:lang w:eastAsia="zh-TW"/>
              </w:rPr>
            </w:pPr>
          </w:p>
        </w:tc>
        <w:tc>
          <w:tcPr>
            <w:tcW w:w="4542" w:type="dxa"/>
            <w:tcBorders>
              <w:top w:val="single" w:color="auto" w:sz="4" w:space="0"/>
              <w:left w:val="single" w:color="auto" w:sz="4" w:space="0"/>
              <w:bottom w:val="single" w:color="auto" w:sz="4" w:space="0"/>
              <w:right w:val="single" w:color="auto" w:sz="4" w:space="0"/>
            </w:tcBorders>
          </w:tcPr>
          <w:p w14:paraId="439BD968">
            <w:pPr>
              <w:widowControl/>
              <w:spacing w:line="360" w:lineRule="auto"/>
              <w:jc w:val="center"/>
              <w:rPr>
                <w:rFonts w:eastAsia="楷体_GB2312"/>
                <w:sz w:val="18"/>
                <w:lang w:eastAsia="zh-TW"/>
              </w:rPr>
            </w:pPr>
          </w:p>
        </w:tc>
      </w:tr>
      <w:tr w14:paraId="37026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38A7D7E2">
            <w:pPr>
              <w:widowControl/>
              <w:spacing w:line="360" w:lineRule="auto"/>
              <w:jc w:val="left"/>
              <w:rPr>
                <w:rFonts w:eastAsia="楷体_GB2312"/>
              </w:rPr>
            </w:pPr>
            <w:r>
              <w:rPr>
                <w:rFonts w:eastAsia="楷体_GB2312"/>
              </w:rPr>
              <w:t>1</w:t>
            </w:r>
            <w:r>
              <w:rPr>
                <w:rFonts w:hint="eastAsia" w:eastAsia="楷体_GB2312"/>
              </w:rPr>
              <w:t>0</w:t>
            </w:r>
            <w:r>
              <w:rPr>
                <w:rFonts w:eastAsia="楷体_GB2312"/>
              </w:rPr>
              <w:t>.受托人解任事件</w:t>
            </w:r>
          </w:p>
        </w:tc>
        <w:tc>
          <w:tcPr>
            <w:tcW w:w="1276" w:type="dxa"/>
            <w:tcBorders>
              <w:top w:val="single" w:color="auto" w:sz="4" w:space="0"/>
              <w:left w:val="single" w:color="auto" w:sz="4" w:space="0"/>
              <w:bottom w:val="single" w:color="auto" w:sz="4" w:space="0"/>
              <w:right w:val="single" w:color="auto" w:sz="4" w:space="0"/>
            </w:tcBorders>
          </w:tcPr>
          <w:p w14:paraId="1A11C767">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371B8D24">
            <w:pPr>
              <w:widowControl/>
              <w:spacing w:line="360" w:lineRule="auto"/>
              <w:jc w:val="center"/>
              <w:rPr>
                <w:rFonts w:eastAsia="楷体_GB2312"/>
                <w:sz w:val="18"/>
              </w:rPr>
            </w:pPr>
          </w:p>
        </w:tc>
      </w:tr>
      <w:tr w14:paraId="4BB0B9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720D6314">
            <w:pPr>
              <w:widowControl/>
              <w:spacing w:line="360" w:lineRule="auto"/>
              <w:jc w:val="left"/>
              <w:rPr>
                <w:rFonts w:eastAsia="楷体_GB2312"/>
              </w:rPr>
            </w:pPr>
            <w:r>
              <w:rPr>
                <w:rFonts w:eastAsia="楷体_GB2312"/>
              </w:rPr>
              <w:t>1</w:t>
            </w:r>
            <w:r>
              <w:rPr>
                <w:rFonts w:hint="eastAsia" w:eastAsia="楷体_GB2312"/>
              </w:rPr>
              <w:t>1</w:t>
            </w:r>
            <w:r>
              <w:rPr>
                <w:rFonts w:eastAsia="楷体_GB2312"/>
              </w:rPr>
              <w:t>.贷款服务机构解任事件</w:t>
            </w:r>
          </w:p>
        </w:tc>
        <w:tc>
          <w:tcPr>
            <w:tcW w:w="1276" w:type="dxa"/>
            <w:tcBorders>
              <w:top w:val="single" w:color="auto" w:sz="4" w:space="0"/>
              <w:left w:val="single" w:color="auto" w:sz="4" w:space="0"/>
              <w:bottom w:val="single" w:color="auto" w:sz="4" w:space="0"/>
              <w:right w:val="single" w:color="auto" w:sz="4" w:space="0"/>
            </w:tcBorders>
          </w:tcPr>
          <w:p w14:paraId="069EEDA1">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1A0EFA9B">
            <w:pPr>
              <w:widowControl/>
              <w:spacing w:line="360" w:lineRule="auto"/>
              <w:jc w:val="center"/>
              <w:rPr>
                <w:rFonts w:eastAsia="楷体_GB2312"/>
                <w:sz w:val="18"/>
              </w:rPr>
            </w:pPr>
          </w:p>
        </w:tc>
      </w:tr>
      <w:tr w14:paraId="32C84A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55D73DE8">
            <w:pPr>
              <w:widowControl/>
              <w:spacing w:line="360" w:lineRule="auto"/>
              <w:jc w:val="left"/>
              <w:rPr>
                <w:rFonts w:eastAsia="楷体_GB2312"/>
              </w:rPr>
            </w:pPr>
            <w:r>
              <w:rPr>
                <w:rFonts w:eastAsia="楷体_GB2312"/>
              </w:rPr>
              <w:t>1</w:t>
            </w:r>
            <w:r>
              <w:rPr>
                <w:rFonts w:hint="eastAsia" w:eastAsia="楷体_GB2312"/>
              </w:rPr>
              <w:t>2</w:t>
            </w:r>
            <w:r>
              <w:rPr>
                <w:rFonts w:eastAsia="楷体_GB2312"/>
              </w:rPr>
              <w:t>.资金保管机构解任事件</w:t>
            </w:r>
          </w:p>
        </w:tc>
        <w:tc>
          <w:tcPr>
            <w:tcW w:w="1276" w:type="dxa"/>
            <w:tcBorders>
              <w:top w:val="single" w:color="auto" w:sz="4" w:space="0"/>
              <w:left w:val="single" w:color="auto" w:sz="4" w:space="0"/>
              <w:bottom w:val="single" w:color="auto" w:sz="4" w:space="0"/>
              <w:right w:val="single" w:color="auto" w:sz="4" w:space="0"/>
            </w:tcBorders>
          </w:tcPr>
          <w:p w14:paraId="3D6ED954">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60944281">
            <w:pPr>
              <w:widowControl/>
              <w:spacing w:line="360" w:lineRule="auto"/>
              <w:jc w:val="center"/>
              <w:rPr>
                <w:rFonts w:eastAsia="楷体_GB2312"/>
                <w:sz w:val="18"/>
              </w:rPr>
            </w:pPr>
          </w:p>
        </w:tc>
      </w:tr>
      <w:tr w14:paraId="293B0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48E4787A">
            <w:pPr>
              <w:widowControl/>
              <w:spacing w:line="360" w:lineRule="auto"/>
              <w:jc w:val="left"/>
              <w:rPr>
                <w:rFonts w:eastAsia="楷体_GB2312"/>
                <w:sz w:val="18"/>
              </w:rPr>
            </w:pPr>
            <w:r>
              <w:rPr>
                <w:rFonts w:eastAsia="楷体_GB2312"/>
              </w:rPr>
              <w:t>1</w:t>
            </w:r>
            <w:r>
              <w:rPr>
                <w:rFonts w:hint="eastAsia" w:eastAsia="楷体_GB2312"/>
              </w:rPr>
              <w:t>3</w:t>
            </w:r>
            <w:r>
              <w:rPr>
                <w:rFonts w:eastAsia="楷体_GB2312"/>
              </w:rPr>
              <w:t>.资产支持证券持有人大会</w:t>
            </w:r>
          </w:p>
        </w:tc>
        <w:tc>
          <w:tcPr>
            <w:tcW w:w="1276" w:type="dxa"/>
            <w:tcBorders>
              <w:top w:val="single" w:color="auto" w:sz="4" w:space="0"/>
              <w:left w:val="single" w:color="auto" w:sz="4" w:space="0"/>
              <w:bottom w:val="single" w:color="auto" w:sz="4" w:space="0"/>
              <w:right w:val="single" w:color="auto" w:sz="4" w:space="0"/>
            </w:tcBorders>
          </w:tcPr>
          <w:p w14:paraId="7FEEC6AB">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064892F9">
            <w:pPr>
              <w:widowControl/>
              <w:spacing w:line="360" w:lineRule="auto"/>
              <w:jc w:val="center"/>
              <w:rPr>
                <w:rFonts w:eastAsia="楷体_GB2312"/>
                <w:sz w:val="18"/>
              </w:rPr>
            </w:pPr>
          </w:p>
        </w:tc>
      </w:tr>
      <w:tr w14:paraId="55DBB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59DD1822">
            <w:pPr>
              <w:widowControl/>
              <w:spacing w:line="360" w:lineRule="auto"/>
              <w:jc w:val="left"/>
              <w:rPr>
                <w:rFonts w:eastAsia="楷体_GB2312"/>
              </w:rPr>
            </w:pPr>
            <w:r>
              <w:rPr>
                <w:rFonts w:hint="eastAsia" w:eastAsia="楷体_GB2312"/>
                <w:color w:val="000000"/>
                <w:sz w:val="20"/>
              </w:rPr>
              <w:t>14.法定到期日延长</w:t>
            </w:r>
          </w:p>
        </w:tc>
        <w:tc>
          <w:tcPr>
            <w:tcW w:w="1276" w:type="dxa"/>
            <w:tcBorders>
              <w:top w:val="single" w:color="auto" w:sz="4" w:space="0"/>
              <w:left w:val="single" w:color="auto" w:sz="4" w:space="0"/>
              <w:bottom w:val="single" w:color="auto" w:sz="4" w:space="0"/>
              <w:right w:val="single" w:color="auto" w:sz="4" w:space="0"/>
            </w:tcBorders>
          </w:tcPr>
          <w:p w14:paraId="11F3B1B0">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4CF45E8A">
            <w:pPr>
              <w:widowControl/>
              <w:spacing w:line="360" w:lineRule="auto"/>
              <w:jc w:val="center"/>
              <w:rPr>
                <w:rFonts w:eastAsia="楷体_GB2312"/>
                <w:sz w:val="18"/>
              </w:rPr>
            </w:pPr>
          </w:p>
        </w:tc>
      </w:tr>
      <w:tr w14:paraId="727686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69182AD5">
            <w:pPr>
              <w:widowControl/>
              <w:spacing w:line="360" w:lineRule="auto"/>
              <w:jc w:val="left"/>
              <w:rPr>
                <w:rFonts w:eastAsia="楷体_GB2312"/>
              </w:rPr>
            </w:pPr>
            <w:r>
              <w:rPr>
                <w:rFonts w:hint="eastAsia" w:eastAsia="楷体_GB2312"/>
                <w:color w:val="000000"/>
                <w:sz w:val="20"/>
              </w:rPr>
              <w:t>15.清算期延长</w:t>
            </w:r>
          </w:p>
        </w:tc>
        <w:tc>
          <w:tcPr>
            <w:tcW w:w="1276" w:type="dxa"/>
            <w:tcBorders>
              <w:top w:val="single" w:color="auto" w:sz="4" w:space="0"/>
              <w:left w:val="single" w:color="auto" w:sz="4" w:space="0"/>
              <w:bottom w:val="single" w:color="auto" w:sz="4" w:space="0"/>
              <w:right w:val="single" w:color="auto" w:sz="4" w:space="0"/>
            </w:tcBorders>
          </w:tcPr>
          <w:p w14:paraId="5F30189A">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532CA303">
            <w:pPr>
              <w:widowControl/>
              <w:spacing w:line="360" w:lineRule="auto"/>
              <w:jc w:val="center"/>
              <w:rPr>
                <w:rFonts w:eastAsia="楷体_GB2312"/>
                <w:sz w:val="18"/>
              </w:rPr>
            </w:pPr>
          </w:p>
        </w:tc>
      </w:tr>
      <w:tr w14:paraId="68476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left w:val="single" w:color="auto" w:sz="4" w:space="0"/>
              <w:bottom w:val="single" w:color="auto" w:sz="4" w:space="0"/>
              <w:right w:val="single" w:color="auto" w:sz="4" w:space="0"/>
            </w:tcBorders>
          </w:tcPr>
          <w:p w14:paraId="4811CEBC">
            <w:pPr>
              <w:widowControl/>
              <w:spacing w:line="360" w:lineRule="auto"/>
              <w:jc w:val="both"/>
              <w:rPr>
                <w:rFonts w:eastAsia="楷体_GB2312"/>
                <w:sz w:val="18"/>
              </w:rPr>
            </w:pPr>
            <w:r>
              <w:rPr>
                <w:rFonts w:eastAsia="楷体_GB2312"/>
              </w:rPr>
              <w:t>16.其他影响证券本息兑付或投资者利益的事项</w:t>
            </w:r>
            <w:r>
              <w:rPr>
                <w:rFonts w:hint="eastAsia" w:eastAsia="楷体_GB2312"/>
                <w:color w:val="000000"/>
                <w:sz w:val="20"/>
              </w:rPr>
              <w:t>（如负面的催收相关事项）</w:t>
            </w:r>
          </w:p>
        </w:tc>
        <w:tc>
          <w:tcPr>
            <w:tcW w:w="1276" w:type="dxa"/>
            <w:tcBorders>
              <w:top w:val="single" w:color="auto" w:sz="4" w:space="0"/>
              <w:left w:val="single" w:color="auto" w:sz="4" w:space="0"/>
              <w:bottom w:val="single" w:color="auto" w:sz="4" w:space="0"/>
              <w:right w:val="single" w:color="auto" w:sz="4" w:space="0"/>
            </w:tcBorders>
          </w:tcPr>
          <w:p w14:paraId="6E34E905">
            <w:pPr>
              <w:widowControl/>
              <w:spacing w:line="360" w:lineRule="auto"/>
              <w:jc w:val="center"/>
              <w:rPr>
                <w:rFonts w:eastAsia="楷体_GB2312"/>
                <w:sz w:val="18"/>
              </w:rPr>
            </w:pPr>
          </w:p>
        </w:tc>
        <w:tc>
          <w:tcPr>
            <w:tcW w:w="4542" w:type="dxa"/>
            <w:tcBorders>
              <w:top w:val="single" w:color="auto" w:sz="4" w:space="0"/>
              <w:left w:val="single" w:color="auto" w:sz="4" w:space="0"/>
              <w:bottom w:val="single" w:color="auto" w:sz="4" w:space="0"/>
              <w:right w:val="single" w:color="auto" w:sz="4" w:space="0"/>
            </w:tcBorders>
          </w:tcPr>
          <w:p w14:paraId="7EDC6624">
            <w:pPr>
              <w:widowControl/>
              <w:spacing w:line="360" w:lineRule="auto"/>
              <w:jc w:val="center"/>
              <w:rPr>
                <w:rFonts w:eastAsia="楷体_GB2312"/>
                <w:sz w:val="18"/>
              </w:rPr>
            </w:pPr>
          </w:p>
        </w:tc>
      </w:tr>
    </w:tbl>
    <w:p w14:paraId="155582FB">
      <w:pPr>
        <w:spacing w:line="360" w:lineRule="auto"/>
        <w:rPr>
          <w:rFonts w:eastAsia="楷体_GB2312"/>
          <w:b/>
          <w:bCs/>
          <w:i/>
          <w:iCs/>
          <w:color w:val="FF0000"/>
        </w:rPr>
      </w:pPr>
      <w:r>
        <w:rPr>
          <w:rFonts w:eastAsia="楷体_GB2312"/>
          <w:b/>
          <w:bCs/>
          <w:i/>
          <w:iCs/>
          <w:color w:val="FF0000"/>
        </w:rPr>
        <w:t>【</w:t>
      </w:r>
      <w:bookmarkStart w:id="799" w:name="_Hlk221705434"/>
      <w:r>
        <w:rPr>
          <w:rFonts w:eastAsia="楷体_GB2312"/>
          <w:b/>
          <w:bCs/>
          <w:i/>
          <w:iCs/>
          <w:color w:val="FF0000"/>
        </w:rPr>
        <w:t>注：</w:t>
      </w:r>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r>
        <w:rPr>
          <w:rFonts w:eastAsia="楷体_GB2312"/>
          <w:b/>
          <w:bCs/>
          <w:i/>
          <w:iCs/>
          <w:color w:val="FF0000"/>
        </w:rPr>
        <w:t>。】</w:t>
      </w:r>
    </w:p>
    <w:bookmarkEnd w:id="799"/>
    <w:p w14:paraId="0C8E8365">
      <w:pPr>
        <w:widowControl/>
        <w:spacing w:line="360" w:lineRule="auto"/>
        <w:jc w:val="right"/>
        <w:rPr>
          <w:rFonts w:eastAsia="楷体_GB2312"/>
          <w:sz w:val="24"/>
        </w:rPr>
      </w:pPr>
    </w:p>
    <w:p w14:paraId="5253739C">
      <w:pPr>
        <w:widowControl/>
        <w:spacing w:line="360" w:lineRule="auto"/>
        <w:jc w:val="right"/>
        <w:rPr>
          <w:rFonts w:eastAsia="楷体_GB2312"/>
          <w:sz w:val="24"/>
        </w:rPr>
      </w:pPr>
    </w:p>
    <w:p w14:paraId="6687112B">
      <w:pPr>
        <w:widowControl/>
        <w:spacing w:line="360" w:lineRule="auto"/>
        <w:jc w:val="right"/>
        <w:rPr>
          <w:rFonts w:eastAsia="楷体_GB2312"/>
          <w:sz w:val="24"/>
        </w:rPr>
      </w:pPr>
    </w:p>
    <w:p w14:paraId="66AA953B">
      <w:pPr>
        <w:widowControl/>
        <w:spacing w:line="360" w:lineRule="auto"/>
        <w:jc w:val="right"/>
        <w:rPr>
          <w:rFonts w:eastAsia="楷体_GB2312"/>
          <w:sz w:val="24"/>
        </w:rPr>
      </w:pPr>
      <w:r>
        <w:rPr>
          <w:rFonts w:eastAsia="楷体_GB2312"/>
          <w:sz w:val="24"/>
        </w:rPr>
        <w:t>【受托机构全称】（公章）</w:t>
      </w:r>
    </w:p>
    <w:p w14:paraId="392BE6E1">
      <w:pPr>
        <w:ind w:firstLine="5520" w:firstLineChars="2300"/>
        <w:rPr>
          <w:rFonts w:eastAsia="楷体_GB2312"/>
        </w:rPr>
      </w:pPr>
      <w:r>
        <w:rPr>
          <w:rFonts w:eastAsia="楷体_GB2312"/>
          <w:sz w:val="24"/>
          <w:lang w:eastAsia="zh-TW"/>
        </w:rPr>
        <w:t>【】年【】月【】日</w:t>
      </w:r>
    </w:p>
    <w:p w14:paraId="64451589">
      <w:pPr>
        <w:rPr>
          <w:rFonts w:eastAsia="楷体_GB2312"/>
        </w:rPr>
      </w:pPr>
    </w:p>
    <w:p w14:paraId="495813C4">
      <w:pPr>
        <w:rPr>
          <w:rFonts w:eastAsia="楷体_GB2312"/>
        </w:rPr>
      </w:pPr>
    </w:p>
    <w:p w14:paraId="52FB2EBA">
      <w:pPr>
        <w:widowControl/>
        <w:jc w:val="left"/>
        <w:rPr>
          <w:rFonts w:eastAsia="楷体_GB2312"/>
        </w:rPr>
      </w:pPr>
      <w:r>
        <w:rPr>
          <w:rFonts w:eastAsia="楷体_GB2312"/>
        </w:rPr>
        <w:br w:type="page"/>
      </w:r>
    </w:p>
    <w:tbl>
      <w:tblPr>
        <w:tblStyle w:val="27"/>
        <w:tblW w:w="85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0"/>
      </w:tblGrid>
      <w:tr w14:paraId="70C6E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single" w:color="auto" w:sz="4" w:space="0"/>
              <w:left w:val="single" w:color="auto" w:sz="4" w:space="0"/>
              <w:bottom w:val="single" w:color="auto" w:sz="4" w:space="0"/>
              <w:right w:val="single" w:color="auto" w:sz="4" w:space="0"/>
            </w:tcBorders>
          </w:tcPr>
          <w:p w14:paraId="093C7E53">
            <w:pPr>
              <w:widowControl/>
              <w:spacing w:line="360" w:lineRule="auto"/>
              <w:jc w:val="center"/>
              <w:rPr>
                <w:rFonts w:eastAsia="楷体_GB2312"/>
                <w:b/>
                <w:sz w:val="28"/>
              </w:rPr>
            </w:pPr>
            <w:r>
              <w:rPr>
                <w:rFonts w:eastAsia="楷体_GB2312"/>
                <w:b/>
                <w:sz w:val="28"/>
              </w:rPr>
              <w:t>【信托名称】受托机构报告</w:t>
            </w:r>
          </w:p>
        </w:tc>
      </w:tr>
      <w:tr w14:paraId="0B42C9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single" w:color="auto" w:sz="4" w:space="0"/>
              <w:left w:val="single" w:color="auto" w:sz="4" w:space="0"/>
              <w:bottom w:val="nil"/>
              <w:right w:val="single" w:color="auto" w:sz="4" w:space="0"/>
            </w:tcBorders>
          </w:tcPr>
          <w:p w14:paraId="199BDB8F">
            <w:pPr>
              <w:widowControl/>
              <w:spacing w:line="360" w:lineRule="auto"/>
              <w:jc w:val="left"/>
              <w:rPr>
                <w:rFonts w:eastAsia="楷体_GB2312"/>
                <w:b/>
                <w:sz w:val="24"/>
              </w:rPr>
            </w:pPr>
          </w:p>
        </w:tc>
      </w:tr>
      <w:tr w14:paraId="67ED9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1C25ECDA">
            <w:pPr>
              <w:widowControl/>
              <w:spacing w:line="360" w:lineRule="auto"/>
              <w:jc w:val="left"/>
              <w:rPr>
                <w:rFonts w:eastAsia="楷体_GB2312"/>
                <w:szCs w:val="21"/>
              </w:rPr>
            </w:pPr>
            <w:r>
              <w:rPr>
                <w:rFonts w:eastAsia="楷体_GB2312"/>
                <w:szCs w:val="21"/>
              </w:rPr>
              <w:t>八、本期发生/未发生损害信托财产、委托人或者受益人利益等重大事项，（如发生）受托人采取的应对措施和解决情况如下：【】</w:t>
            </w:r>
          </w:p>
          <w:p w14:paraId="75FC3797">
            <w:pPr>
              <w:widowControl/>
              <w:spacing w:line="360" w:lineRule="auto"/>
              <w:jc w:val="left"/>
              <w:rPr>
                <w:rFonts w:eastAsia="楷体_GB2312"/>
                <w:szCs w:val="21"/>
              </w:rPr>
            </w:pPr>
          </w:p>
        </w:tc>
      </w:tr>
      <w:tr w14:paraId="2BE60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20F623B8">
            <w:pPr>
              <w:widowControl/>
              <w:spacing w:line="360" w:lineRule="auto"/>
              <w:jc w:val="left"/>
              <w:rPr>
                <w:rFonts w:eastAsia="楷体_GB2312"/>
                <w:szCs w:val="21"/>
              </w:rPr>
            </w:pPr>
            <w:r>
              <w:rPr>
                <w:rFonts w:eastAsia="楷体_GB2312"/>
                <w:szCs w:val="21"/>
              </w:rPr>
              <w:t>九、本期受托人如期正常地收到贷款服务机构报告及资金保管报告。</w:t>
            </w:r>
          </w:p>
          <w:p w14:paraId="1DC50F3B">
            <w:pPr>
              <w:widowControl/>
              <w:spacing w:line="360" w:lineRule="auto"/>
              <w:jc w:val="center"/>
              <w:rPr>
                <w:rFonts w:eastAsia="楷体_GB2312"/>
                <w:szCs w:val="21"/>
              </w:rPr>
            </w:pPr>
          </w:p>
        </w:tc>
      </w:tr>
      <w:tr w14:paraId="637C2D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nil"/>
              <w:right w:val="single" w:color="auto" w:sz="4" w:space="0"/>
            </w:tcBorders>
          </w:tcPr>
          <w:p w14:paraId="326FD820">
            <w:pPr>
              <w:widowControl/>
              <w:spacing w:line="360" w:lineRule="auto"/>
              <w:jc w:val="left"/>
              <w:rPr>
                <w:rFonts w:eastAsia="楷体_GB2312"/>
                <w:szCs w:val="21"/>
                <w:lang w:eastAsia="zh-TW"/>
              </w:rPr>
            </w:pPr>
            <w:r>
              <w:rPr>
                <w:rFonts w:eastAsia="楷体_GB2312"/>
                <w:szCs w:val="21"/>
              </w:rPr>
              <w:t>十、（如发生）由于本期服务机构报告和资金保管报告金额的差异造成本期受托机构报告中某些金额不符，受托人正在督促以上两方进行核对、更正。</w:t>
            </w:r>
            <w:r>
              <w:rPr>
                <w:rFonts w:eastAsia="楷体_GB2312"/>
                <w:szCs w:val="21"/>
                <w:lang w:eastAsia="zh-TW"/>
              </w:rPr>
              <w:t>（如发生）上期报告中差异更正如下：</w:t>
            </w:r>
          </w:p>
          <w:p w14:paraId="07C31EAB">
            <w:pPr>
              <w:widowControl/>
              <w:spacing w:line="360" w:lineRule="auto"/>
              <w:jc w:val="left"/>
              <w:rPr>
                <w:rFonts w:eastAsia="楷体_GB2312"/>
                <w:szCs w:val="21"/>
                <w:lang w:eastAsia="zh-TW"/>
              </w:rPr>
            </w:pPr>
          </w:p>
        </w:tc>
      </w:tr>
      <w:tr w14:paraId="7DDBCA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20" w:type="dxa"/>
            <w:tcBorders>
              <w:top w:val="nil"/>
              <w:left w:val="single" w:color="auto" w:sz="4" w:space="0"/>
              <w:bottom w:val="single" w:color="auto" w:sz="4" w:space="0"/>
              <w:right w:val="single" w:color="auto" w:sz="4" w:space="0"/>
            </w:tcBorders>
          </w:tcPr>
          <w:p w14:paraId="2DF7288F">
            <w:pPr>
              <w:widowControl/>
              <w:spacing w:line="360" w:lineRule="auto"/>
              <w:jc w:val="left"/>
              <w:rPr>
                <w:rFonts w:eastAsia="楷体_GB2312"/>
                <w:szCs w:val="21"/>
              </w:rPr>
            </w:pPr>
            <w:r>
              <w:rPr>
                <w:rFonts w:eastAsia="楷体_GB2312"/>
                <w:szCs w:val="21"/>
              </w:rPr>
              <w:t>十一、备查文件：1.贷款服务机构报告；2.资金保管报告。</w:t>
            </w:r>
          </w:p>
        </w:tc>
      </w:tr>
    </w:tbl>
    <w:p w14:paraId="73E7B3C0">
      <w:pPr>
        <w:rPr>
          <w:rFonts w:eastAsia="楷体_GB2312"/>
          <w:sz w:val="24"/>
        </w:rPr>
      </w:pPr>
    </w:p>
    <w:p w14:paraId="1AE7CEC1">
      <w:pPr>
        <w:widowControl/>
        <w:jc w:val="left"/>
        <w:rPr>
          <w:rFonts w:eastAsia="楷体_GB2312"/>
          <w:sz w:val="24"/>
        </w:rPr>
      </w:pPr>
      <w:r>
        <w:rPr>
          <w:rFonts w:eastAsia="楷体_GB2312"/>
          <w:sz w:val="24"/>
        </w:rPr>
        <w:br w:type="page"/>
      </w:r>
    </w:p>
    <w:p w14:paraId="49F37B49">
      <w:pPr>
        <w:rPr>
          <w:rFonts w:eastAsia="楷体_GB2312"/>
        </w:rPr>
      </w:pPr>
    </w:p>
    <w:tbl>
      <w:tblPr>
        <w:tblStyle w:val="2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6018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1CCD69B3">
            <w:pPr>
              <w:widowControl/>
              <w:spacing w:line="360" w:lineRule="auto"/>
              <w:jc w:val="left"/>
              <w:rPr>
                <w:rFonts w:eastAsia="楷体_GB2312"/>
                <w:sz w:val="18"/>
              </w:rPr>
            </w:pPr>
            <w:r>
              <w:rPr>
                <w:rFonts w:eastAsia="楷体_GB2312"/>
                <w:sz w:val="24"/>
              </w:rPr>
              <w:t>指标释义：</w:t>
            </w:r>
          </w:p>
          <w:p w14:paraId="0F5CCB20">
            <w:pPr>
              <w:widowControl/>
              <w:spacing w:line="360" w:lineRule="auto"/>
              <w:jc w:val="left"/>
              <w:rPr>
                <w:rFonts w:eastAsia="楷体_GB2312"/>
                <w:sz w:val="18"/>
              </w:rPr>
            </w:pPr>
            <w:r>
              <w:rPr>
                <w:rFonts w:eastAsia="楷体_GB2312"/>
                <w:sz w:val="18"/>
              </w:rPr>
              <w:t>1：累计违约率：就某一“收款期间”而言，该“收款期间”的“累计违约率”系指A/B所得的百分比，其中，A为该“收款期间”以及之前各“收款期间”内的所有“违约贷款”在成为“违约贷款”时的“未偿本金余额”之和，B为</w:t>
            </w:r>
            <w:r>
              <w:rPr>
                <w:rFonts w:eastAsia="楷体_GB2312"/>
                <w:sz w:val="18"/>
                <w:szCs w:val="18"/>
              </w:rPr>
              <w:t>该“收款期间”以及之前各“收款期间”内的所有“抵押贷款”在“</w:t>
            </w:r>
            <w:r>
              <w:rPr>
                <w:rFonts w:eastAsia="楷体_GB2312"/>
                <w:sz w:val="18"/>
              </w:rPr>
              <w:t>初始起算</w:t>
            </w:r>
            <w:r>
              <w:rPr>
                <w:rFonts w:eastAsia="楷体_GB2312"/>
                <w:sz w:val="18"/>
                <w:szCs w:val="18"/>
              </w:rPr>
              <w:t>日”（如该”贷款”在“初始起算日”【</w:t>
            </w:r>
            <w:r>
              <w:rPr>
                <w:rFonts w:eastAsia="楷体_GB2312"/>
                <w:i/>
                <w:iCs/>
                <w:sz w:val="18"/>
                <w:szCs w:val="18"/>
              </w:rPr>
              <w:t>具体时点</w:t>
            </w:r>
            <w:r>
              <w:rPr>
                <w:rFonts w:eastAsia="楷体_GB2312"/>
                <w:sz w:val="18"/>
                <w:szCs w:val="18"/>
              </w:rPr>
              <w:t>】尚未发放，则系指该“抵押贷款”发放时）的“未偿本</w:t>
            </w:r>
            <w:r>
              <w:rPr>
                <w:rFonts w:eastAsia="楷体_GB2312"/>
                <w:sz w:val="18"/>
              </w:rPr>
              <w:t>金余额”之和。</w:t>
            </w:r>
          </w:p>
          <w:p w14:paraId="75E94EF5">
            <w:pPr>
              <w:widowControl/>
              <w:spacing w:line="360" w:lineRule="auto"/>
              <w:jc w:val="left"/>
              <w:rPr>
                <w:rFonts w:eastAsia="楷体_GB2312"/>
                <w:sz w:val="18"/>
              </w:rPr>
            </w:pPr>
            <w:r>
              <w:rPr>
                <w:rFonts w:eastAsia="楷体_GB2312"/>
                <w:sz w:val="18"/>
              </w:rPr>
              <w:t>2：执行费用扣款：为本期服务机构从“违约贷款”的回收金额中实际扣除的其以往已经为全部“违约贷款”垫付的所有“执行费用”。</w:t>
            </w:r>
          </w:p>
          <w:p w14:paraId="12870006">
            <w:pPr>
              <w:widowControl/>
              <w:tabs>
                <w:tab w:val="left" w:pos="720"/>
                <w:tab w:val="left" w:pos="1440"/>
                <w:tab w:val="left" w:pos="2160"/>
                <w:tab w:val="center" w:pos="4150"/>
              </w:tabs>
              <w:spacing w:line="360" w:lineRule="auto"/>
              <w:jc w:val="left"/>
              <w:rPr>
                <w:rFonts w:eastAsia="楷体_GB2312"/>
                <w:sz w:val="18"/>
                <w:lang w:val="en-GB"/>
              </w:rPr>
            </w:pPr>
            <w:r>
              <w:rPr>
                <w:rFonts w:eastAsia="楷体_GB2312"/>
                <w:sz w:val="18"/>
              </w:rPr>
              <w:t>3：累计违约率监控指标：【】%</w:t>
            </w:r>
          </w:p>
        </w:tc>
      </w:tr>
      <w:tr w14:paraId="44BE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Borders>
              <w:top w:val="single" w:color="auto" w:sz="4" w:space="0"/>
              <w:left w:val="single" w:color="auto" w:sz="4" w:space="0"/>
              <w:bottom w:val="single" w:color="auto" w:sz="4" w:space="0"/>
              <w:right w:val="single" w:color="auto" w:sz="4" w:space="0"/>
            </w:tcBorders>
          </w:tcPr>
          <w:p w14:paraId="29C31F9A">
            <w:pPr>
              <w:widowControl/>
              <w:tabs>
                <w:tab w:val="left" w:pos="780"/>
              </w:tabs>
              <w:spacing w:line="360" w:lineRule="auto"/>
              <w:rPr>
                <w:rFonts w:eastAsia="楷体_GB2312"/>
                <w:sz w:val="18"/>
                <w:lang w:val="en-GB"/>
              </w:rPr>
            </w:pPr>
            <w:r>
              <w:rPr>
                <w:rFonts w:eastAsia="楷体_GB2312"/>
                <w:sz w:val="18"/>
              </w:rPr>
              <w:t>4：经处置目前无拖欠：经过非诉讼类和诉讼类处置过程，借款人还清所欠款项，目前无拖欠。</w:t>
            </w:r>
          </w:p>
          <w:p w14:paraId="3DA02BD7">
            <w:pPr>
              <w:widowControl/>
              <w:spacing w:line="360" w:lineRule="auto"/>
              <w:jc w:val="left"/>
              <w:rPr>
                <w:rFonts w:eastAsia="楷体_GB2312"/>
                <w:sz w:val="18"/>
              </w:rPr>
            </w:pPr>
            <w:r>
              <w:rPr>
                <w:rFonts w:eastAsia="楷体_GB2312"/>
                <w:sz w:val="18"/>
              </w:rPr>
              <w:t>5：非诉讼类处置：含催收、协议、仲裁等各种非诉讼方式。</w:t>
            </w:r>
          </w:p>
        </w:tc>
      </w:tr>
    </w:tbl>
    <w:p w14:paraId="616EF2E8">
      <w:pPr>
        <w:rPr>
          <w:rFonts w:eastAsia="楷体_GB2312"/>
        </w:rPr>
      </w:pPr>
    </w:p>
    <w:p w14:paraId="78698A24">
      <w:pPr>
        <w:rPr>
          <w:rFonts w:eastAsia="楷体_GB2312"/>
        </w:rPr>
      </w:pPr>
    </w:p>
    <w:p w14:paraId="03E57B72">
      <w:pPr>
        <w:rPr>
          <w:rFonts w:eastAsia="楷体_GB2312"/>
        </w:rPr>
      </w:pPr>
    </w:p>
    <w:p w14:paraId="15BD7B57">
      <w:pPr>
        <w:jc w:val="right"/>
        <w:rPr>
          <w:rFonts w:eastAsia="楷体_GB2312"/>
        </w:rPr>
      </w:pPr>
      <w:r>
        <w:rPr>
          <w:rFonts w:eastAsia="楷体_GB2312"/>
        </w:rPr>
        <w:t>【受托机构全称】（公章）</w:t>
      </w:r>
    </w:p>
    <w:p w14:paraId="2131718E">
      <w:pPr>
        <w:jc w:val="right"/>
        <w:rPr>
          <w:rFonts w:eastAsia="楷体_GB2312"/>
        </w:rPr>
      </w:pPr>
      <w:r>
        <w:rPr>
          <w:rFonts w:eastAsia="楷体_GB2312"/>
        </w:rPr>
        <w:t>【】年【】月【】日</w:t>
      </w:r>
    </w:p>
    <w:p w14:paraId="00DE09DD">
      <w:pPr>
        <w:rPr>
          <w:rFonts w:eastAsia="楷体_GB2312"/>
        </w:rPr>
      </w:pPr>
      <w:r>
        <w:rPr>
          <w:rFonts w:eastAsia="楷体_GB2312"/>
        </w:rPr>
        <w:br w:type="page"/>
      </w:r>
    </w:p>
    <w:p w14:paraId="612D1C61">
      <w:pPr>
        <w:spacing w:line="380" w:lineRule="exact"/>
        <w:outlineLvl w:val="0"/>
        <w:rPr>
          <w:rFonts w:eastAsia="楷体_GB2312"/>
          <w:b/>
          <w:sz w:val="24"/>
        </w:rPr>
      </w:pPr>
      <w:bookmarkStart w:id="800" w:name="_Toc221382886"/>
      <w:bookmarkStart w:id="801" w:name="_Toc23956"/>
      <w:bookmarkStart w:id="802" w:name="_Toc122623549"/>
      <w:bookmarkStart w:id="803" w:name="_Toc479603749"/>
      <w:bookmarkStart w:id="804" w:name="_Toc499714616"/>
      <w:bookmarkStart w:id="805" w:name="_Toc465800788"/>
      <w:bookmarkStart w:id="806" w:name="_Toc467513056"/>
      <w:bookmarkStart w:id="807" w:name="_Toc480365756"/>
      <w:bookmarkStart w:id="808" w:name="_Toc484177610"/>
      <w:bookmarkStart w:id="809" w:name="_Toc465885768"/>
      <w:bookmarkStart w:id="810" w:name="_Toc465862134"/>
      <w:bookmarkStart w:id="811" w:name="_Toc464810190"/>
      <w:r>
        <w:rPr>
          <w:rFonts w:eastAsia="楷体_GB2312"/>
          <w:b/>
          <w:sz w:val="24"/>
        </w:rPr>
        <w:t>附件十一：重大事件报告书</w:t>
      </w:r>
      <w:bookmarkEnd w:id="800"/>
      <w:bookmarkEnd w:id="801"/>
    </w:p>
    <w:p w14:paraId="1AA69ED1">
      <w:pPr>
        <w:jc w:val="center"/>
        <w:rPr>
          <w:rFonts w:eastAsia="楷体_GB2312"/>
          <w:b/>
          <w:sz w:val="32"/>
          <w:szCs w:val="32"/>
        </w:rPr>
      </w:pPr>
      <w:r>
        <w:rPr>
          <w:rFonts w:eastAsia="楷体_GB2312"/>
          <w:b/>
          <w:sz w:val="32"/>
          <w:szCs w:val="32"/>
        </w:rPr>
        <w:t>【信托名称】</w:t>
      </w:r>
    </w:p>
    <w:p w14:paraId="0527743F">
      <w:pPr>
        <w:spacing w:line="360" w:lineRule="auto"/>
        <w:jc w:val="center"/>
        <w:rPr>
          <w:rFonts w:eastAsia="楷体_GB2312"/>
          <w:b/>
          <w:color w:val="000000"/>
          <w:sz w:val="44"/>
        </w:rPr>
      </w:pPr>
      <w:r>
        <w:rPr>
          <w:rFonts w:eastAsia="楷体_GB2312"/>
          <w:b/>
          <w:sz w:val="32"/>
          <w:szCs w:val="32"/>
        </w:rPr>
        <w:t>重大事件报告书</w:t>
      </w:r>
    </w:p>
    <w:p w14:paraId="55A350D4">
      <w:pPr>
        <w:spacing w:line="360" w:lineRule="auto"/>
        <w:jc w:val="center"/>
        <w:rPr>
          <w:rFonts w:eastAsia="楷体_GB2312"/>
          <w:b/>
          <w:color w:val="000000"/>
          <w:sz w:val="44"/>
        </w:rPr>
      </w:pPr>
    </w:p>
    <w:p w14:paraId="7560BAD7">
      <w:pPr>
        <w:spacing w:line="360" w:lineRule="auto"/>
        <w:rPr>
          <w:rFonts w:eastAsia="楷体_GB2312"/>
          <w:b/>
          <w:color w:val="000000"/>
        </w:rPr>
      </w:pPr>
    </w:p>
    <w:tbl>
      <w:tblPr>
        <w:tblStyle w:val="27"/>
        <w:tblW w:w="0" w:type="dxa"/>
        <w:jc w:val="center"/>
        <w:tblLayout w:type="fixed"/>
        <w:tblCellMar>
          <w:top w:w="0" w:type="dxa"/>
          <w:left w:w="0" w:type="dxa"/>
          <w:bottom w:w="0" w:type="dxa"/>
          <w:right w:w="0" w:type="dxa"/>
        </w:tblCellMar>
      </w:tblPr>
      <w:tblGrid>
        <w:gridCol w:w="6360"/>
      </w:tblGrid>
      <w:tr w14:paraId="1BE49E10">
        <w:tblPrEx>
          <w:tblCellMar>
            <w:top w:w="0" w:type="dxa"/>
            <w:left w:w="0" w:type="dxa"/>
            <w:bottom w:w="0" w:type="dxa"/>
            <w:right w:w="0" w:type="dxa"/>
          </w:tblCellMar>
        </w:tblPrEx>
        <w:trPr>
          <w:trHeight w:val="1508" w:hRule="atLeast"/>
          <w:jc w:val="center"/>
        </w:trPr>
        <w:tc>
          <w:tcPr>
            <w:tcW w:w="6360" w:type="dxa"/>
            <w:tcBorders>
              <w:top w:val="single" w:color="auto" w:sz="8" w:space="0"/>
              <w:left w:val="single" w:color="auto" w:sz="8" w:space="0"/>
              <w:bottom w:val="single" w:color="auto" w:sz="8" w:space="0"/>
              <w:right w:val="single" w:color="auto" w:sz="8" w:space="0"/>
            </w:tcBorders>
          </w:tcPr>
          <w:p w14:paraId="1AECC48A">
            <w:pPr>
              <w:spacing w:line="360" w:lineRule="auto"/>
              <w:jc w:val="center"/>
              <w:rPr>
                <w:rFonts w:eastAsia="楷体_GB2312"/>
                <w:b/>
                <w:color w:val="000000"/>
              </w:rPr>
            </w:pPr>
            <w:r>
              <w:rPr>
                <w:rFonts w:eastAsia="楷体_GB2312"/>
                <w:b/>
                <w:color w:val="000000"/>
              </w:rPr>
              <w:t>受托人声明</w:t>
            </w:r>
          </w:p>
          <w:p w14:paraId="083CB47C">
            <w:pPr>
              <w:spacing w:line="360" w:lineRule="auto"/>
              <w:ind w:firstLine="422" w:firstLineChars="200"/>
              <w:rPr>
                <w:rFonts w:eastAsia="楷体_GB2312"/>
                <w:b/>
                <w:color w:val="000000"/>
              </w:rPr>
            </w:pPr>
            <w:r>
              <w:rPr>
                <w:rFonts w:eastAsia="楷体_GB2312"/>
                <w:b/>
                <w:color w:val="000000"/>
              </w:rPr>
              <w:t>受托人管理信托财产应恪尽职守，履行诚实、信用、谨慎、有效管理义务。依据信托合同约定管理信托财产所产生的风险，由信托财产承担，即由委托人交付的财产以及由受托人对该财产运用后形成的财产承担；受托人违背信托合同、处理信托事务不当使信托财产受到损失，由受托人赔偿。</w:t>
            </w:r>
          </w:p>
        </w:tc>
      </w:tr>
    </w:tbl>
    <w:p w14:paraId="2C909B50">
      <w:pPr>
        <w:spacing w:line="360" w:lineRule="auto"/>
        <w:jc w:val="center"/>
        <w:rPr>
          <w:rFonts w:eastAsia="楷体_GB2312"/>
          <w:b/>
          <w:color w:val="000000"/>
        </w:rPr>
      </w:pPr>
    </w:p>
    <w:tbl>
      <w:tblPr>
        <w:tblStyle w:val="27"/>
        <w:tblW w:w="0" w:type="dxa"/>
        <w:jc w:val="center"/>
        <w:tblLayout w:type="fixed"/>
        <w:tblCellMar>
          <w:top w:w="0" w:type="dxa"/>
          <w:left w:w="0" w:type="dxa"/>
          <w:bottom w:w="0" w:type="dxa"/>
          <w:right w:w="0" w:type="dxa"/>
        </w:tblCellMar>
      </w:tblPr>
      <w:tblGrid>
        <w:gridCol w:w="1680"/>
        <w:gridCol w:w="5670"/>
      </w:tblGrid>
      <w:tr w14:paraId="4BECB3E1">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2A31B30">
            <w:pPr>
              <w:spacing w:line="360" w:lineRule="auto"/>
              <w:jc w:val="right"/>
              <w:rPr>
                <w:rFonts w:eastAsia="楷体_GB2312"/>
                <w:b/>
                <w:color w:val="000000"/>
              </w:rPr>
            </w:pPr>
            <w:r>
              <w:rPr>
                <w:rFonts w:eastAsia="楷体_GB2312"/>
                <w:b/>
                <w:color w:val="000000"/>
              </w:rPr>
              <w:t>受托人：</w:t>
            </w:r>
          </w:p>
        </w:tc>
        <w:tc>
          <w:tcPr>
            <w:tcW w:w="5670" w:type="dxa"/>
            <w:tcBorders>
              <w:top w:val="nil"/>
              <w:left w:val="nil"/>
              <w:bottom w:val="nil"/>
              <w:right w:val="nil"/>
            </w:tcBorders>
            <w:vAlign w:val="bottom"/>
          </w:tcPr>
          <w:p w14:paraId="0656D316">
            <w:pPr>
              <w:spacing w:line="360" w:lineRule="auto"/>
              <w:rPr>
                <w:rFonts w:eastAsia="楷体_GB2312"/>
                <w:b/>
                <w:color w:val="000000"/>
              </w:rPr>
            </w:pPr>
            <w:r>
              <w:rPr>
                <w:rFonts w:eastAsia="楷体_GB2312"/>
                <w:b/>
                <w:color w:val="000000"/>
              </w:rPr>
              <w:t>【受托机构全称】</w:t>
            </w:r>
          </w:p>
        </w:tc>
      </w:tr>
      <w:tr w14:paraId="571E503D">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52BDA41E">
            <w:pPr>
              <w:spacing w:line="360" w:lineRule="auto"/>
              <w:jc w:val="right"/>
              <w:rPr>
                <w:rFonts w:eastAsia="楷体_GB2312"/>
                <w:b/>
                <w:color w:val="000000"/>
              </w:rPr>
            </w:pPr>
            <w:r>
              <w:rPr>
                <w:rFonts w:eastAsia="楷体_GB2312"/>
                <w:b/>
                <w:color w:val="000000"/>
              </w:rPr>
              <w:t>报告日期：</w:t>
            </w:r>
          </w:p>
        </w:tc>
        <w:tc>
          <w:tcPr>
            <w:tcW w:w="5670" w:type="dxa"/>
            <w:tcBorders>
              <w:top w:val="nil"/>
              <w:left w:val="nil"/>
              <w:bottom w:val="nil"/>
              <w:right w:val="nil"/>
            </w:tcBorders>
            <w:vAlign w:val="bottom"/>
          </w:tcPr>
          <w:p w14:paraId="504DE385">
            <w:pPr>
              <w:spacing w:line="360" w:lineRule="auto"/>
              <w:rPr>
                <w:rFonts w:eastAsia="楷体_GB2312"/>
                <w:b/>
                <w:color w:val="000000"/>
              </w:rPr>
            </w:pPr>
            <w:r>
              <w:rPr>
                <w:rFonts w:eastAsia="楷体_GB2312"/>
                <w:b/>
                <w:color w:val="000000"/>
              </w:rPr>
              <w:t>20XX年XX月XX日</w:t>
            </w:r>
          </w:p>
        </w:tc>
      </w:tr>
      <w:tr w14:paraId="090B259E">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0F915B8">
            <w:pPr>
              <w:spacing w:line="360" w:lineRule="auto"/>
              <w:jc w:val="right"/>
              <w:rPr>
                <w:rFonts w:eastAsia="楷体_GB2312"/>
                <w:b/>
                <w:color w:val="000000"/>
              </w:rPr>
            </w:pPr>
          </w:p>
        </w:tc>
        <w:tc>
          <w:tcPr>
            <w:tcW w:w="5670" w:type="dxa"/>
            <w:tcBorders>
              <w:top w:val="nil"/>
              <w:left w:val="nil"/>
              <w:bottom w:val="nil"/>
              <w:right w:val="nil"/>
            </w:tcBorders>
            <w:vAlign w:val="bottom"/>
          </w:tcPr>
          <w:p w14:paraId="2EC2FA5A">
            <w:pPr>
              <w:spacing w:line="360" w:lineRule="auto"/>
              <w:rPr>
                <w:rFonts w:eastAsia="楷体_GB2312"/>
                <w:b/>
                <w:color w:val="000000"/>
              </w:rPr>
            </w:pPr>
          </w:p>
        </w:tc>
      </w:tr>
      <w:tr w14:paraId="0F5AD65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0BAEC67D">
            <w:pPr>
              <w:spacing w:line="360" w:lineRule="auto"/>
              <w:jc w:val="right"/>
              <w:rPr>
                <w:rFonts w:eastAsia="楷体_GB2312"/>
                <w:b/>
                <w:color w:val="000000"/>
              </w:rPr>
            </w:pPr>
          </w:p>
        </w:tc>
        <w:tc>
          <w:tcPr>
            <w:tcW w:w="5670" w:type="dxa"/>
            <w:tcBorders>
              <w:top w:val="nil"/>
              <w:left w:val="nil"/>
              <w:bottom w:val="nil"/>
              <w:right w:val="nil"/>
            </w:tcBorders>
            <w:vAlign w:val="bottom"/>
          </w:tcPr>
          <w:p w14:paraId="4B0163B4">
            <w:pPr>
              <w:spacing w:line="360" w:lineRule="auto"/>
              <w:rPr>
                <w:rFonts w:eastAsia="楷体_GB2312"/>
                <w:b/>
                <w:color w:val="000000"/>
              </w:rPr>
            </w:pPr>
          </w:p>
        </w:tc>
      </w:tr>
      <w:tr w14:paraId="19DD079A">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2ADEB628">
            <w:pPr>
              <w:spacing w:line="360" w:lineRule="auto"/>
              <w:jc w:val="right"/>
              <w:rPr>
                <w:rFonts w:eastAsia="楷体_GB2312"/>
                <w:b/>
                <w:color w:val="000000"/>
              </w:rPr>
            </w:pPr>
            <w:r>
              <w:rPr>
                <w:rFonts w:eastAsia="楷体_GB2312"/>
                <w:b/>
                <w:color w:val="000000"/>
              </w:rPr>
              <w:t>受托人地址：</w:t>
            </w:r>
          </w:p>
        </w:tc>
        <w:tc>
          <w:tcPr>
            <w:tcW w:w="5670" w:type="dxa"/>
            <w:tcBorders>
              <w:top w:val="nil"/>
              <w:left w:val="nil"/>
              <w:bottom w:val="nil"/>
              <w:right w:val="nil"/>
            </w:tcBorders>
            <w:vAlign w:val="bottom"/>
          </w:tcPr>
          <w:p w14:paraId="3CFEE67C">
            <w:pPr>
              <w:spacing w:line="360" w:lineRule="auto"/>
              <w:rPr>
                <w:rFonts w:eastAsia="楷体_GB2312"/>
                <w:color w:val="000000"/>
              </w:rPr>
            </w:pPr>
          </w:p>
        </w:tc>
      </w:tr>
      <w:tr w14:paraId="67C95107">
        <w:tblPrEx>
          <w:tblCellMar>
            <w:top w:w="0" w:type="dxa"/>
            <w:left w:w="0" w:type="dxa"/>
            <w:bottom w:w="0" w:type="dxa"/>
            <w:right w:w="0" w:type="dxa"/>
          </w:tblCellMar>
        </w:tblPrEx>
        <w:trPr>
          <w:trHeight w:val="531" w:hRule="atLeast"/>
          <w:jc w:val="center"/>
        </w:trPr>
        <w:tc>
          <w:tcPr>
            <w:tcW w:w="1680" w:type="dxa"/>
            <w:tcBorders>
              <w:top w:val="nil"/>
              <w:left w:val="nil"/>
              <w:bottom w:val="nil"/>
              <w:right w:val="nil"/>
            </w:tcBorders>
            <w:vAlign w:val="bottom"/>
          </w:tcPr>
          <w:p w14:paraId="4F796FA4">
            <w:pPr>
              <w:spacing w:line="360" w:lineRule="auto"/>
              <w:jc w:val="right"/>
              <w:rPr>
                <w:rFonts w:eastAsia="楷体_GB2312"/>
                <w:b/>
                <w:color w:val="000000"/>
              </w:rPr>
            </w:pPr>
            <w:r>
              <w:rPr>
                <w:rFonts w:eastAsia="楷体_GB2312"/>
                <w:b/>
                <w:color w:val="000000"/>
              </w:rPr>
              <w:t>电话：</w:t>
            </w:r>
          </w:p>
        </w:tc>
        <w:tc>
          <w:tcPr>
            <w:tcW w:w="5670" w:type="dxa"/>
            <w:tcBorders>
              <w:top w:val="nil"/>
              <w:left w:val="nil"/>
              <w:bottom w:val="nil"/>
              <w:right w:val="nil"/>
            </w:tcBorders>
            <w:vAlign w:val="bottom"/>
          </w:tcPr>
          <w:p w14:paraId="00BCD879">
            <w:pPr>
              <w:spacing w:line="360" w:lineRule="auto"/>
              <w:rPr>
                <w:rFonts w:eastAsia="楷体_GB2312"/>
                <w:b/>
                <w:color w:val="000000"/>
              </w:rPr>
            </w:pPr>
          </w:p>
        </w:tc>
      </w:tr>
      <w:tr w14:paraId="481E4CB7">
        <w:tblPrEx>
          <w:tblCellMar>
            <w:top w:w="0" w:type="dxa"/>
            <w:left w:w="0" w:type="dxa"/>
            <w:bottom w:w="0" w:type="dxa"/>
            <w:right w:w="0" w:type="dxa"/>
          </w:tblCellMar>
        </w:tblPrEx>
        <w:trPr>
          <w:trHeight w:val="315" w:hRule="atLeast"/>
          <w:jc w:val="center"/>
        </w:trPr>
        <w:tc>
          <w:tcPr>
            <w:tcW w:w="1680" w:type="dxa"/>
            <w:tcBorders>
              <w:top w:val="nil"/>
              <w:left w:val="nil"/>
              <w:bottom w:val="nil"/>
              <w:right w:val="nil"/>
            </w:tcBorders>
            <w:vAlign w:val="bottom"/>
          </w:tcPr>
          <w:p w14:paraId="313666CA">
            <w:pPr>
              <w:spacing w:line="360" w:lineRule="auto"/>
              <w:jc w:val="right"/>
              <w:rPr>
                <w:rFonts w:eastAsia="楷体_GB2312"/>
                <w:b/>
                <w:color w:val="000000"/>
              </w:rPr>
            </w:pPr>
            <w:r>
              <w:rPr>
                <w:rFonts w:eastAsia="楷体_GB2312"/>
                <w:b/>
                <w:color w:val="000000"/>
              </w:rPr>
              <w:t>传真：</w:t>
            </w:r>
          </w:p>
        </w:tc>
        <w:tc>
          <w:tcPr>
            <w:tcW w:w="5670" w:type="dxa"/>
            <w:tcBorders>
              <w:top w:val="nil"/>
              <w:left w:val="nil"/>
              <w:bottom w:val="nil"/>
              <w:right w:val="nil"/>
            </w:tcBorders>
            <w:vAlign w:val="bottom"/>
          </w:tcPr>
          <w:p w14:paraId="0F12323F">
            <w:pPr>
              <w:spacing w:line="360" w:lineRule="auto"/>
              <w:rPr>
                <w:rFonts w:eastAsia="楷体_GB2312"/>
                <w:b/>
                <w:color w:val="000000"/>
              </w:rPr>
            </w:pPr>
          </w:p>
        </w:tc>
      </w:tr>
      <w:tr w14:paraId="161586F5">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4D71DA4D">
            <w:pPr>
              <w:spacing w:line="360" w:lineRule="auto"/>
              <w:jc w:val="right"/>
              <w:rPr>
                <w:rFonts w:eastAsia="楷体_GB2312"/>
                <w:b/>
                <w:color w:val="000000"/>
              </w:rPr>
            </w:pPr>
            <w:r>
              <w:rPr>
                <w:rFonts w:eastAsia="楷体_GB2312"/>
                <w:b/>
                <w:color w:val="000000"/>
              </w:rPr>
              <w:t>公司网址：</w:t>
            </w:r>
          </w:p>
        </w:tc>
        <w:tc>
          <w:tcPr>
            <w:tcW w:w="5670" w:type="dxa"/>
            <w:tcBorders>
              <w:top w:val="nil"/>
              <w:left w:val="nil"/>
              <w:bottom w:val="nil"/>
              <w:right w:val="nil"/>
            </w:tcBorders>
            <w:vAlign w:val="bottom"/>
          </w:tcPr>
          <w:p w14:paraId="23D0A34D">
            <w:pPr>
              <w:spacing w:line="360" w:lineRule="auto"/>
              <w:rPr>
                <w:rFonts w:eastAsia="楷体_GB2312"/>
                <w:b/>
                <w:color w:val="000000"/>
              </w:rPr>
            </w:pPr>
          </w:p>
        </w:tc>
      </w:tr>
      <w:tr w14:paraId="14FCBBEF">
        <w:tblPrEx>
          <w:tblCellMar>
            <w:top w:w="0" w:type="dxa"/>
            <w:left w:w="0" w:type="dxa"/>
            <w:bottom w:w="0" w:type="dxa"/>
            <w:right w:w="0" w:type="dxa"/>
          </w:tblCellMar>
        </w:tblPrEx>
        <w:trPr>
          <w:trHeight w:val="285" w:hRule="atLeast"/>
          <w:jc w:val="center"/>
        </w:trPr>
        <w:tc>
          <w:tcPr>
            <w:tcW w:w="1680" w:type="dxa"/>
            <w:tcBorders>
              <w:top w:val="nil"/>
              <w:left w:val="nil"/>
              <w:bottom w:val="nil"/>
              <w:right w:val="nil"/>
            </w:tcBorders>
            <w:vAlign w:val="bottom"/>
          </w:tcPr>
          <w:p w14:paraId="52E73181">
            <w:pPr>
              <w:spacing w:line="360" w:lineRule="auto"/>
              <w:jc w:val="right"/>
              <w:rPr>
                <w:rFonts w:eastAsia="楷体_GB2312"/>
                <w:b/>
                <w:color w:val="000000"/>
              </w:rPr>
            </w:pPr>
            <w:r>
              <w:rPr>
                <w:rFonts w:eastAsia="楷体_GB2312"/>
                <w:b/>
                <w:color w:val="000000"/>
              </w:rPr>
              <w:t>电子邮件：</w:t>
            </w:r>
          </w:p>
        </w:tc>
        <w:tc>
          <w:tcPr>
            <w:tcW w:w="5670" w:type="dxa"/>
            <w:tcBorders>
              <w:top w:val="nil"/>
              <w:left w:val="nil"/>
              <w:bottom w:val="nil"/>
              <w:right w:val="nil"/>
            </w:tcBorders>
            <w:vAlign w:val="bottom"/>
          </w:tcPr>
          <w:p w14:paraId="0A630D2A">
            <w:pPr>
              <w:spacing w:line="360" w:lineRule="auto"/>
              <w:rPr>
                <w:rFonts w:eastAsia="楷体_GB2312"/>
                <w:b/>
                <w:color w:val="000000"/>
              </w:rPr>
            </w:pPr>
          </w:p>
        </w:tc>
      </w:tr>
    </w:tbl>
    <w:p w14:paraId="3EC271BA">
      <w:pPr>
        <w:spacing w:line="360" w:lineRule="auto"/>
        <w:rPr>
          <w:rFonts w:eastAsia="楷体_GB2312"/>
          <w:color w:val="000000"/>
          <w:sz w:val="32"/>
        </w:rPr>
      </w:pPr>
    </w:p>
    <w:p w14:paraId="4491C55C">
      <w:pPr>
        <w:rPr>
          <w:rFonts w:eastAsia="楷体_GB2312"/>
        </w:rPr>
      </w:pPr>
      <w:r>
        <w:rPr>
          <w:rFonts w:eastAsia="楷体_GB2312"/>
        </w:rPr>
        <w:br w:type="page"/>
      </w:r>
    </w:p>
    <w:tbl>
      <w:tblPr>
        <w:tblStyle w:val="27"/>
        <w:tblW w:w="879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2"/>
        <w:gridCol w:w="1134"/>
        <w:gridCol w:w="4689"/>
      </w:tblGrid>
      <w:tr w14:paraId="59420F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795" w:type="dxa"/>
            <w:gridSpan w:val="3"/>
            <w:tcBorders>
              <w:bottom w:val="single" w:color="auto" w:sz="4" w:space="0"/>
            </w:tcBorders>
          </w:tcPr>
          <w:p w14:paraId="274D3DA1">
            <w:pPr>
              <w:spacing w:line="360" w:lineRule="auto"/>
              <w:jc w:val="center"/>
              <w:rPr>
                <w:rFonts w:eastAsia="楷体_GB2312"/>
                <w:b/>
                <w:color w:val="000000"/>
                <w:sz w:val="28"/>
              </w:rPr>
            </w:pPr>
            <w:r>
              <w:rPr>
                <w:rFonts w:eastAsia="楷体_GB2312"/>
                <w:b/>
                <w:color w:val="000000"/>
                <w:sz w:val="28"/>
              </w:rPr>
              <w:t>【信托名称】重大事件报告书</w:t>
            </w:r>
          </w:p>
        </w:tc>
      </w:tr>
      <w:tr w14:paraId="54AF36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666C0D0">
            <w:pPr>
              <w:spacing w:line="360" w:lineRule="auto"/>
              <w:jc w:val="left"/>
              <w:rPr>
                <w:rFonts w:eastAsia="楷体_GB2312"/>
                <w:b/>
                <w:color w:val="000000"/>
              </w:rPr>
            </w:pPr>
            <w:r>
              <w:rPr>
                <w:rFonts w:eastAsia="楷体_GB2312"/>
                <w:b/>
                <w:color w:val="000000"/>
              </w:rPr>
              <w:t>事项</w:t>
            </w:r>
          </w:p>
        </w:tc>
        <w:tc>
          <w:tcPr>
            <w:tcW w:w="1134" w:type="dxa"/>
            <w:tcBorders>
              <w:top w:val="single" w:color="auto" w:sz="4" w:space="0"/>
              <w:left w:val="single" w:color="auto" w:sz="4" w:space="0"/>
              <w:bottom w:val="single" w:color="auto" w:sz="4" w:space="0"/>
              <w:right w:val="single" w:color="auto" w:sz="4" w:space="0"/>
            </w:tcBorders>
          </w:tcPr>
          <w:p w14:paraId="3EFFC241">
            <w:pPr>
              <w:spacing w:line="360" w:lineRule="auto"/>
              <w:jc w:val="center"/>
              <w:rPr>
                <w:rFonts w:eastAsia="楷体_GB2312"/>
                <w:b/>
                <w:color w:val="000000"/>
              </w:rPr>
            </w:pPr>
            <w:r>
              <w:rPr>
                <w:rFonts w:eastAsia="楷体_GB2312"/>
                <w:b/>
                <w:color w:val="000000"/>
              </w:rPr>
              <w:t>是否发生</w:t>
            </w:r>
          </w:p>
        </w:tc>
        <w:tc>
          <w:tcPr>
            <w:tcW w:w="4689" w:type="dxa"/>
            <w:tcBorders>
              <w:top w:val="single" w:color="auto" w:sz="4" w:space="0"/>
              <w:left w:val="single" w:color="auto" w:sz="4" w:space="0"/>
              <w:bottom w:val="single" w:color="auto" w:sz="4" w:space="0"/>
            </w:tcBorders>
          </w:tcPr>
          <w:p w14:paraId="74CC1785">
            <w:pPr>
              <w:spacing w:line="360" w:lineRule="auto"/>
              <w:jc w:val="center"/>
              <w:rPr>
                <w:rFonts w:eastAsia="楷体_GB2312"/>
                <w:b/>
                <w:color w:val="000000"/>
              </w:rPr>
            </w:pPr>
            <w:r>
              <w:rPr>
                <w:rFonts w:eastAsia="楷体_GB2312"/>
                <w:b/>
                <w:color w:val="000000"/>
              </w:rPr>
              <w:t>备注</w:t>
            </w:r>
          </w:p>
        </w:tc>
      </w:tr>
      <w:tr w14:paraId="1798C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60C4662B">
            <w:pPr>
              <w:spacing w:line="360" w:lineRule="auto"/>
              <w:rPr>
                <w:rFonts w:eastAsia="楷体_GB2312"/>
                <w:color w:val="000000"/>
              </w:rPr>
            </w:pPr>
            <w:r>
              <w:rPr>
                <w:rFonts w:eastAsia="楷体_GB2312"/>
                <w:lang w:eastAsia="zh-TW"/>
              </w:rPr>
              <w:t>1.加速清偿事件</w:t>
            </w:r>
          </w:p>
        </w:tc>
        <w:tc>
          <w:tcPr>
            <w:tcW w:w="1134" w:type="dxa"/>
            <w:tcBorders>
              <w:top w:val="single" w:color="auto" w:sz="4" w:space="0"/>
              <w:left w:val="single" w:color="auto" w:sz="4" w:space="0"/>
              <w:bottom w:val="single" w:color="auto" w:sz="4" w:space="0"/>
              <w:right w:val="single" w:color="auto" w:sz="4" w:space="0"/>
            </w:tcBorders>
          </w:tcPr>
          <w:p w14:paraId="69907329">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659EC92E">
            <w:pPr>
              <w:spacing w:line="360" w:lineRule="auto"/>
              <w:jc w:val="center"/>
              <w:rPr>
                <w:rFonts w:eastAsia="楷体_GB2312"/>
                <w:color w:val="000000"/>
                <w:sz w:val="18"/>
              </w:rPr>
            </w:pPr>
          </w:p>
        </w:tc>
      </w:tr>
      <w:tr w14:paraId="2EB71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B64A074">
            <w:pPr>
              <w:spacing w:line="360" w:lineRule="auto"/>
              <w:rPr>
                <w:rFonts w:eastAsia="楷体_GB2312"/>
                <w:color w:val="000000"/>
              </w:rPr>
            </w:pPr>
            <w:r>
              <w:rPr>
                <w:rFonts w:eastAsia="楷体_GB2312"/>
                <w:lang w:eastAsia="zh-TW"/>
              </w:rPr>
              <w:t>2.违约事件</w:t>
            </w:r>
          </w:p>
        </w:tc>
        <w:tc>
          <w:tcPr>
            <w:tcW w:w="1134" w:type="dxa"/>
            <w:tcBorders>
              <w:top w:val="single" w:color="auto" w:sz="4" w:space="0"/>
              <w:left w:val="single" w:color="auto" w:sz="4" w:space="0"/>
              <w:bottom w:val="single" w:color="auto" w:sz="4" w:space="0"/>
              <w:right w:val="single" w:color="auto" w:sz="4" w:space="0"/>
            </w:tcBorders>
          </w:tcPr>
          <w:p w14:paraId="3E6C619A">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5EE91428">
            <w:pPr>
              <w:spacing w:line="360" w:lineRule="auto"/>
              <w:jc w:val="center"/>
              <w:rPr>
                <w:rFonts w:eastAsia="楷体_GB2312"/>
                <w:color w:val="000000"/>
                <w:sz w:val="18"/>
              </w:rPr>
            </w:pPr>
          </w:p>
        </w:tc>
      </w:tr>
      <w:tr w14:paraId="2B9F3F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1639EB6">
            <w:pPr>
              <w:spacing w:line="360" w:lineRule="auto"/>
              <w:rPr>
                <w:rFonts w:eastAsia="楷体_GB2312"/>
                <w:color w:val="000000"/>
              </w:rPr>
            </w:pPr>
            <w:r>
              <w:rPr>
                <w:rFonts w:eastAsia="楷体_GB2312"/>
                <w:lang w:eastAsia="zh-TW"/>
              </w:rPr>
              <w:t>3.权利完善事件</w:t>
            </w:r>
            <w:r>
              <w:rPr>
                <w:rFonts w:hint="eastAsia" w:eastAsia="楷体_GB2312"/>
              </w:rPr>
              <w:t>/</w:t>
            </w:r>
            <w:r>
              <w:rPr>
                <w:rFonts w:eastAsia="楷体_GB2312"/>
              </w:rPr>
              <w:t>个别通知事件</w:t>
            </w:r>
          </w:p>
        </w:tc>
        <w:tc>
          <w:tcPr>
            <w:tcW w:w="1134" w:type="dxa"/>
            <w:tcBorders>
              <w:top w:val="single" w:color="auto" w:sz="4" w:space="0"/>
              <w:left w:val="single" w:color="auto" w:sz="4" w:space="0"/>
              <w:bottom w:val="single" w:color="auto" w:sz="4" w:space="0"/>
              <w:right w:val="single" w:color="auto" w:sz="4" w:space="0"/>
            </w:tcBorders>
          </w:tcPr>
          <w:p w14:paraId="25CC7C4B">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30C90A5C">
            <w:pPr>
              <w:spacing w:line="360" w:lineRule="auto"/>
              <w:jc w:val="center"/>
              <w:rPr>
                <w:rFonts w:eastAsia="楷体_GB2312"/>
                <w:color w:val="000000"/>
                <w:sz w:val="18"/>
              </w:rPr>
            </w:pPr>
          </w:p>
        </w:tc>
      </w:tr>
      <w:tr w14:paraId="6C4BB1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75A7A26C">
            <w:pPr>
              <w:spacing w:line="360" w:lineRule="auto"/>
              <w:rPr>
                <w:rFonts w:eastAsia="楷体_GB2312"/>
                <w:color w:val="000000"/>
              </w:rPr>
            </w:pPr>
            <w:r>
              <w:rPr>
                <w:rFonts w:hint="eastAsia" w:eastAsia="楷体_GB2312"/>
              </w:rPr>
              <w:t>4</w:t>
            </w:r>
            <w:r>
              <w:rPr>
                <w:rFonts w:eastAsia="楷体_GB2312"/>
                <w:lang w:eastAsia="zh-TW"/>
              </w:rPr>
              <w:t>.赎回</w:t>
            </w:r>
          </w:p>
        </w:tc>
        <w:tc>
          <w:tcPr>
            <w:tcW w:w="1134" w:type="dxa"/>
            <w:tcBorders>
              <w:top w:val="single" w:color="auto" w:sz="4" w:space="0"/>
              <w:left w:val="single" w:color="auto" w:sz="4" w:space="0"/>
              <w:bottom w:val="single" w:color="auto" w:sz="4" w:space="0"/>
              <w:right w:val="single" w:color="auto" w:sz="4" w:space="0"/>
            </w:tcBorders>
          </w:tcPr>
          <w:p w14:paraId="3B0EEF96">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470A2C20">
            <w:pPr>
              <w:spacing w:line="360" w:lineRule="auto"/>
              <w:jc w:val="center"/>
              <w:rPr>
                <w:rFonts w:eastAsia="楷体_GB2312"/>
                <w:color w:val="000000"/>
                <w:sz w:val="18"/>
              </w:rPr>
            </w:pPr>
          </w:p>
        </w:tc>
      </w:tr>
      <w:tr w14:paraId="6F41EE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2EDCA89E">
            <w:pPr>
              <w:spacing w:line="360" w:lineRule="auto"/>
              <w:rPr>
                <w:rFonts w:eastAsia="楷体_GB2312"/>
                <w:color w:val="000000"/>
              </w:rPr>
            </w:pPr>
            <w:r>
              <w:rPr>
                <w:rFonts w:hint="eastAsia" w:eastAsia="楷体_GB2312"/>
              </w:rPr>
              <w:t>5</w:t>
            </w:r>
            <w:r>
              <w:rPr>
                <w:rFonts w:eastAsia="楷体_GB2312"/>
                <w:lang w:eastAsia="zh-TW"/>
              </w:rPr>
              <w:t>.清仓回购</w:t>
            </w:r>
          </w:p>
        </w:tc>
        <w:tc>
          <w:tcPr>
            <w:tcW w:w="1134" w:type="dxa"/>
            <w:tcBorders>
              <w:top w:val="single" w:color="auto" w:sz="4" w:space="0"/>
              <w:left w:val="single" w:color="auto" w:sz="4" w:space="0"/>
              <w:bottom w:val="single" w:color="auto" w:sz="4" w:space="0"/>
              <w:right w:val="single" w:color="auto" w:sz="4" w:space="0"/>
            </w:tcBorders>
          </w:tcPr>
          <w:p w14:paraId="623D754F">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6ACA5594">
            <w:pPr>
              <w:spacing w:line="360" w:lineRule="auto"/>
              <w:jc w:val="center"/>
              <w:rPr>
                <w:rFonts w:eastAsia="楷体_GB2312"/>
                <w:color w:val="000000"/>
                <w:sz w:val="18"/>
              </w:rPr>
            </w:pPr>
          </w:p>
        </w:tc>
      </w:tr>
      <w:tr w14:paraId="666F99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F6B49B5">
            <w:pPr>
              <w:spacing w:line="360" w:lineRule="auto"/>
              <w:rPr>
                <w:rFonts w:eastAsia="楷体_GB2312"/>
                <w:color w:val="000000"/>
              </w:rPr>
            </w:pPr>
            <w:r>
              <w:rPr>
                <w:rFonts w:hint="eastAsia" w:eastAsia="楷体_GB2312"/>
              </w:rPr>
              <w:t>6</w:t>
            </w:r>
            <w:r>
              <w:rPr>
                <w:rFonts w:eastAsia="楷体_GB2312"/>
                <w:lang w:eastAsia="zh-TW"/>
              </w:rPr>
              <w:t>.丧失清偿能力事件</w:t>
            </w:r>
          </w:p>
        </w:tc>
        <w:tc>
          <w:tcPr>
            <w:tcW w:w="1134" w:type="dxa"/>
            <w:tcBorders>
              <w:top w:val="single" w:color="auto" w:sz="4" w:space="0"/>
              <w:left w:val="single" w:color="auto" w:sz="4" w:space="0"/>
              <w:bottom w:val="single" w:color="auto" w:sz="4" w:space="0"/>
              <w:right w:val="single" w:color="auto" w:sz="4" w:space="0"/>
            </w:tcBorders>
          </w:tcPr>
          <w:p w14:paraId="61F794C5">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7213389B">
            <w:pPr>
              <w:spacing w:line="360" w:lineRule="auto"/>
              <w:jc w:val="center"/>
              <w:rPr>
                <w:rFonts w:eastAsia="楷体_GB2312"/>
                <w:color w:val="000000"/>
                <w:sz w:val="18"/>
              </w:rPr>
            </w:pPr>
          </w:p>
        </w:tc>
      </w:tr>
      <w:tr w14:paraId="68FF15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380F407C">
            <w:pPr>
              <w:spacing w:line="360" w:lineRule="auto"/>
              <w:rPr>
                <w:rFonts w:eastAsia="楷体_GB2312"/>
                <w:color w:val="000000"/>
              </w:rPr>
            </w:pPr>
            <w:r>
              <w:rPr>
                <w:rFonts w:hint="eastAsia" w:eastAsia="楷体_GB2312"/>
              </w:rPr>
              <w:t>7</w:t>
            </w:r>
            <w:r>
              <w:rPr>
                <w:rFonts w:eastAsia="楷体_GB2312"/>
              </w:rPr>
              <w:t>.受托机构终止事件</w:t>
            </w:r>
          </w:p>
        </w:tc>
        <w:tc>
          <w:tcPr>
            <w:tcW w:w="1134" w:type="dxa"/>
            <w:tcBorders>
              <w:top w:val="single" w:color="auto" w:sz="4" w:space="0"/>
              <w:left w:val="single" w:color="auto" w:sz="4" w:space="0"/>
              <w:bottom w:val="single" w:color="auto" w:sz="4" w:space="0"/>
              <w:right w:val="single" w:color="auto" w:sz="4" w:space="0"/>
            </w:tcBorders>
          </w:tcPr>
          <w:p w14:paraId="3C299915">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22E291C6">
            <w:pPr>
              <w:spacing w:line="360" w:lineRule="auto"/>
              <w:jc w:val="center"/>
              <w:rPr>
                <w:rFonts w:eastAsia="楷体_GB2312"/>
                <w:color w:val="000000"/>
                <w:sz w:val="18"/>
              </w:rPr>
            </w:pPr>
          </w:p>
        </w:tc>
      </w:tr>
      <w:tr w14:paraId="41561F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CF8D308">
            <w:pPr>
              <w:spacing w:line="360" w:lineRule="auto"/>
              <w:rPr>
                <w:rFonts w:eastAsia="楷体_GB2312"/>
                <w:color w:val="000000"/>
                <w:sz w:val="18"/>
              </w:rPr>
            </w:pPr>
            <w:r>
              <w:rPr>
                <w:rFonts w:hint="eastAsia" w:eastAsia="楷体_GB2312"/>
              </w:rPr>
              <w:t>8</w:t>
            </w:r>
            <w:r>
              <w:rPr>
                <w:rFonts w:eastAsia="楷体_GB2312"/>
              </w:rPr>
              <w:t>.重大不利变化</w:t>
            </w:r>
          </w:p>
        </w:tc>
        <w:tc>
          <w:tcPr>
            <w:tcW w:w="1134" w:type="dxa"/>
            <w:tcBorders>
              <w:top w:val="single" w:color="auto" w:sz="4" w:space="0"/>
              <w:left w:val="single" w:color="auto" w:sz="4" w:space="0"/>
              <w:bottom w:val="single" w:color="auto" w:sz="4" w:space="0"/>
              <w:right w:val="single" w:color="auto" w:sz="4" w:space="0"/>
            </w:tcBorders>
          </w:tcPr>
          <w:p w14:paraId="10C49AA6">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616D8362">
            <w:pPr>
              <w:spacing w:line="360" w:lineRule="auto"/>
              <w:jc w:val="center"/>
              <w:rPr>
                <w:rFonts w:eastAsia="楷体_GB2312"/>
                <w:color w:val="000000"/>
                <w:sz w:val="18"/>
              </w:rPr>
            </w:pPr>
          </w:p>
        </w:tc>
      </w:tr>
      <w:tr w14:paraId="272752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20020268">
            <w:pPr>
              <w:spacing w:line="360" w:lineRule="auto"/>
              <w:rPr>
                <w:rFonts w:eastAsia="楷体_GB2312"/>
                <w:color w:val="000000"/>
                <w:sz w:val="18"/>
              </w:rPr>
            </w:pPr>
            <w:r>
              <w:rPr>
                <w:rFonts w:hint="eastAsia" w:eastAsia="楷体_GB2312"/>
              </w:rPr>
              <w:t>9</w:t>
            </w:r>
            <w:r>
              <w:rPr>
                <w:rFonts w:eastAsia="楷体_GB2312"/>
                <w:lang w:eastAsia="zh-TW"/>
              </w:rPr>
              <w:t>.重大不利影响</w:t>
            </w:r>
          </w:p>
        </w:tc>
        <w:tc>
          <w:tcPr>
            <w:tcW w:w="1134" w:type="dxa"/>
            <w:tcBorders>
              <w:top w:val="single" w:color="auto" w:sz="4" w:space="0"/>
              <w:left w:val="single" w:color="auto" w:sz="4" w:space="0"/>
              <w:bottom w:val="single" w:color="auto" w:sz="4" w:space="0"/>
              <w:right w:val="single" w:color="auto" w:sz="4" w:space="0"/>
            </w:tcBorders>
          </w:tcPr>
          <w:p w14:paraId="08231206">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4477132C">
            <w:pPr>
              <w:spacing w:line="360" w:lineRule="auto"/>
              <w:jc w:val="center"/>
              <w:rPr>
                <w:rFonts w:eastAsia="楷体_GB2312"/>
                <w:color w:val="000000"/>
                <w:sz w:val="18"/>
              </w:rPr>
            </w:pPr>
          </w:p>
        </w:tc>
      </w:tr>
      <w:tr w14:paraId="6A25D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2A8793D6">
            <w:pPr>
              <w:spacing w:line="360" w:lineRule="auto"/>
              <w:rPr>
                <w:rFonts w:eastAsia="楷体_GB2312"/>
                <w:color w:val="000000"/>
              </w:rPr>
            </w:pPr>
            <w:r>
              <w:rPr>
                <w:rFonts w:eastAsia="楷体_GB2312"/>
              </w:rPr>
              <w:t>1</w:t>
            </w:r>
            <w:r>
              <w:rPr>
                <w:rFonts w:hint="eastAsia" w:eastAsia="楷体_GB2312"/>
              </w:rPr>
              <w:t>0</w:t>
            </w:r>
            <w:r>
              <w:rPr>
                <w:rFonts w:eastAsia="楷体_GB2312"/>
              </w:rPr>
              <w:t>.受托人解任事件</w:t>
            </w:r>
          </w:p>
        </w:tc>
        <w:tc>
          <w:tcPr>
            <w:tcW w:w="1134" w:type="dxa"/>
            <w:tcBorders>
              <w:top w:val="single" w:color="auto" w:sz="4" w:space="0"/>
              <w:left w:val="single" w:color="auto" w:sz="4" w:space="0"/>
              <w:bottom w:val="single" w:color="auto" w:sz="4" w:space="0"/>
              <w:right w:val="single" w:color="auto" w:sz="4" w:space="0"/>
            </w:tcBorders>
          </w:tcPr>
          <w:p w14:paraId="2E3F4146">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4BB7EDAD">
            <w:pPr>
              <w:spacing w:line="360" w:lineRule="auto"/>
              <w:jc w:val="center"/>
              <w:rPr>
                <w:rFonts w:eastAsia="楷体_GB2312"/>
                <w:color w:val="000000"/>
                <w:sz w:val="18"/>
              </w:rPr>
            </w:pPr>
          </w:p>
        </w:tc>
      </w:tr>
      <w:tr w14:paraId="36CAC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8E0E1AC">
            <w:pPr>
              <w:spacing w:line="360" w:lineRule="auto"/>
              <w:rPr>
                <w:rFonts w:eastAsia="楷体_GB2312"/>
                <w:color w:val="000000"/>
              </w:rPr>
            </w:pPr>
            <w:r>
              <w:rPr>
                <w:rFonts w:eastAsia="楷体_GB2312"/>
              </w:rPr>
              <w:t>1</w:t>
            </w:r>
            <w:r>
              <w:rPr>
                <w:rFonts w:hint="eastAsia" w:eastAsia="楷体_GB2312"/>
              </w:rPr>
              <w:t>1</w:t>
            </w:r>
            <w:r>
              <w:rPr>
                <w:rFonts w:eastAsia="楷体_GB2312"/>
              </w:rPr>
              <w:t>.贷款服务机构解任事件</w:t>
            </w:r>
          </w:p>
        </w:tc>
        <w:tc>
          <w:tcPr>
            <w:tcW w:w="1134" w:type="dxa"/>
            <w:tcBorders>
              <w:top w:val="single" w:color="auto" w:sz="4" w:space="0"/>
              <w:left w:val="single" w:color="auto" w:sz="4" w:space="0"/>
              <w:bottom w:val="single" w:color="auto" w:sz="4" w:space="0"/>
              <w:right w:val="single" w:color="auto" w:sz="4" w:space="0"/>
            </w:tcBorders>
          </w:tcPr>
          <w:p w14:paraId="763E571A">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50A0758F">
            <w:pPr>
              <w:spacing w:line="360" w:lineRule="auto"/>
              <w:jc w:val="center"/>
              <w:rPr>
                <w:rFonts w:eastAsia="楷体_GB2312"/>
                <w:color w:val="000000"/>
                <w:sz w:val="18"/>
              </w:rPr>
            </w:pPr>
          </w:p>
        </w:tc>
      </w:tr>
      <w:tr w14:paraId="22C31F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1BFBC544">
            <w:pPr>
              <w:spacing w:line="360" w:lineRule="auto"/>
              <w:rPr>
                <w:rFonts w:eastAsia="楷体_GB2312"/>
                <w:color w:val="000000"/>
              </w:rPr>
            </w:pPr>
            <w:r>
              <w:rPr>
                <w:rFonts w:eastAsia="楷体_GB2312"/>
              </w:rPr>
              <w:t>1</w:t>
            </w:r>
            <w:r>
              <w:rPr>
                <w:rFonts w:hint="eastAsia" w:eastAsia="楷体_GB2312"/>
              </w:rPr>
              <w:t>2</w:t>
            </w:r>
            <w:r>
              <w:rPr>
                <w:rFonts w:eastAsia="楷体_GB2312"/>
              </w:rPr>
              <w:t>.资金保管机构解任事件</w:t>
            </w:r>
          </w:p>
        </w:tc>
        <w:tc>
          <w:tcPr>
            <w:tcW w:w="1134" w:type="dxa"/>
            <w:tcBorders>
              <w:top w:val="single" w:color="auto" w:sz="4" w:space="0"/>
              <w:left w:val="single" w:color="auto" w:sz="4" w:space="0"/>
              <w:bottom w:val="single" w:color="auto" w:sz="4" w:space="0"/>
              <w:right w:val="single" w:color="auto" w:sz="4" w:space="0"/>
            </w:tcBorders>
          </w:tcPr>
          <w:p w14:paraId="24CB7ABA">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2D2FEDD0">
            <w:pPr>
              <w:spacing w:line="360" w:lineRule="auto"/>
              <w:jc w:val="center"/>
              <w:rPr>
                <w:rFonts w:eastAsia="楷体_GB2312"/>
                <w:color w:val="000000"/>
                <w:sz w:val="18"/>
              </w:rPr>
            </w:pPr>
          </w:p>
        </w:tc>
      </w:tr>
      <w:tr w14:paraId="2FCC65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32ABA481">
            <w:pPr>
              <w:spacing w:line="360" w:lineRule="auto"/>
              <w:rPr>
                <w:rFonts w:eastAsia="楷体_GB2312"/>
                <w:color w:val="000000"/>
              </w:rPr>
            </w:pPr>
            <w:r>
              <w:rPr>
                <w:rFonts w:eastAsia="楷体_GB2312"/>
              </w:rPr>
              <w:t>1</w:t>
            </w:r>
            <w:r>
              <w:rPr>
                <w:rFonts w:hint="eastAsia" w:eastAsia="楷体_GB2312"/>
              </w:rPr>
              <w:t>3</w:t>
            </w:r>
            <w:r>
              <w:rPr>
                <w:rFonts w:eastAsia="楷体_GB2312"/>
              </w:rPr>
              <w:t>.资产支持证券持有人大会</w:t>
            </w:r>
          </w:p>
        </w:tc>
        <w:tc>
          <w:tcPr>
            <w:tcW w:w="1134" w:type="dxa"/>
            <w:tcBorders>
              <w:top w:val="single" w:color="auto" w:sz="4" w:space="0"/>
              <w:left w:val="single" w:color="auto" w:sz="4" w:space="0"/>
              <w:bottom w:val="single" w:color="auto" w:sz="4" w:space="0"/>
              <w:right w:val="single" w:color="auto" w:sz="4" w:space="0"/>
            </w:tcBorders>
          </w:tcPr>
          <w:p w14:paraId="7DD2BC8E">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18988FAB">
            <w:pPr>
              <w:spacing w:line="360" w:lineRule="auto"/>
              <w:jc w:val="center"/>
              <w:rPr>
                <w:rFonts w:eastAsia="楷体_GB2312"/>
                <w:color w:val="000000"/>
                <w:sz w:val="18"/>
              </w:rPr>
            </w:pPr>
          </w:p>
        </w:tc>
      </w:tr>
      <w:tr w14:paraId="5E78B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4F51F87D">
            <w:pPr>
              <w:spacing w:line="360" w:lineRule="auto"/>
              <w:rPr>
                <w:rFonts w:eastAsia="楷体_GB2312"/>
              </w:rPr>
            </w:pPr>
            <w:r>
              <w:rPr>
                <w:rFonts w:hint="eastAsia" w:eastAsia="楷体_GB2312"/>
                <w:color w:val="000000"/>
                <w:sz w:val="20"/>
              </w:rPr>
              <w:t>14.法定到期日延长</w:t>
            </w:r>
          </w:p>
        </w:tc>
        <w:tc>
          <w:tcPr>
            <w:tcW w:w="1134" w:type="dxa"/>
            <w:tcBorders>
              <w:top w:val="single" w:color="auto" w:sz="4" w:space="0"/>
              <w:left w:val="single" w:color="auto" w:sz="4" w:space="0"/>
              <w:bottom w:val="single" w:color="auto" w:sz="4" w:space="0"/>
              <w:right w:val="single" w:color="auto" w:sz="4" w:space="0"/>
            </w:tcBorders>
          </w:tcPr>
          <w:p w14:paraId="16B6B365">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7A0CF750">
            <w:pPr>
              <w:spacing w:line="360" w:lineRule="auto"/>
              <w:jc w:val="center"/>
              <w:rPr>
                <w:rFonts w:eastAsia="楷体_GB2312"/>
                <w:color w:val="000000"/>
                <w:sz w:val="18"/>
              </w:rPr>
            </w:pPr>
          </w:p>
        </w:tc>
      </w:tr>
      <w:tr w14:paraId="429FD0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594A4E8D">
            <w:pPr>
              <w:spacing w:line="360" w:lineRule="auto"/>
              <w:rPr>
                <w:rFonts w:eastAsia="楷体_GB2312"/>
              </w:rPr>
            </w:pPr>
            <w:r>
              <w:rPr>
                <w:rFonts w:hint="eastAsia" w:eastAsia="楷体_GB2312"/>
                <w:color w:val="000000"/>
                <w:sz w:val="20"/>
              </w:rPr>
              <w:t>15.清算期延长</w:t>
            </w:r>
          </w:p>
        </w:tc>
        <w:tc>
          <w:tcPr>
            <w:tcW w:w="1134" w:type="dxa"/>
            <w:tcBorders>
              <w:top w:val="single" w:color="auto" w:sz="4" w:space="0"/>
              <w:left w:val="single" w:color="auto" w:sz="4" w:space="0"/>
              <w:bottom w:val="single" w:color="auto" w:sz="4" w:space="0"/>
              <w:right w:val="single" w:color="auto" w:sz="4" w:space="0"/>
            </w:tcBorders>
          </w:tcPr>
          <w:p w14:paraId="12B45C14">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2C3D317A">
            <w:pPr>
              <w:spacing w:line="360" w:lineRule="auto"/>
              <w:jc w:val="center"/>
              <w:rPr>
                <w:rFonts w:eastAsia="楷体_GB2312"/>
                <w:color w:val="000000"/>
                <w:sz w:val="18"/>
              </w:rPr>
            </w:pPr>
          </w:p>
        </w:tc>
      </w:tr>
      <w:tr w14:paraId="0B8649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972" w:type="dxa"/>
            <w:tcBorders>
              <w:top w:val="single" w:color="auto" w:sz="4" w:space="0"/>
              <w:bottom w:val="single" w:color="auto" w:sz="4" w:space="0"/>
              <w:right w:val="single" w:color="auto" w:sz="4" w:space="0"/>
            </w:tcBorders>
          </w:tcPr>
          <w:p w14:paraId="08095EB9">
            <w:pPr>
              <w:spacing w:line="360" w:lineRule="auto"/>
              <w:rPr>
                <w:rFonts w:eastAsia="楷体_GB2312"/>
                <w:color w:val="000000"/>
              </w:rPr>
            </w:pPr>
            <w:r>
              <w:rPr>
                <w:rFonts w:eastAsia="楷体_GB2312"/>
              </w:rPr>
              <w:t>16.其他影响证券本息兑付或投资者利益的事项</w:t>
            </w:r>
            <w:r>
              <w:rPr>
                <w:rFonts w:hint="eastAsia" w:eastAsia="楷体_GB2312"/>
                <w:color w:val="000000"/>
                <w:sz w:val="20"/>
              </w:rPr>
              <w:t>（如负面的催收相关事项）</w:t>
            </w:r>
          </w:p>
        </w:tc>
        <w:tc>
          <w:tcPr>
            <w:tcW w:w="1134" w:type="dxa"/>
            <w:tcBorders>
              <w:top w:val="single" w:color="auto" w:sz="4" w:space="0"/>
              <w:left w:val="single" w:color="auto" w:sz="4" w:space="0"/>
              <w:bottom w:val="single" w:color="auto" w:sz="4" w:space="0"/>
              <w:right w:val="single" w:color="auto" w:sz="4" w:space="0"/>
            </w:tcBorders>
          </w:tcPr>
          <w:p w14:paraId="6A839800">
            <w:pPr>
              <w:spacing w:line="360" w:lineRule="auto"/>
              <w:jc w:val="center"/>
              <w:rPr>
                <w:rFonts w:eastAsia="楷体_GB2312"/>
                <w:color w:val="000000"/>
                <w:sz w:val="18"/>
              </w:rPr>
            </w:pPr>
          </w:p>
        </w:tc>
        <w:tc>
          <w:tcPr>
            <w:tcW w:w="4689" w:type="dxa"/>
            <w:tcBorders>
              <w:top w:val="single" w:color="auto" w:sz="4" w:space="0"/>
              <w:left w:val="single" w:color="auto" w:sz="4" w:space="0"/>
              <w:bottom w:val="single" w:color="auto" w:sz="4" w:space="0"/>
            </w:tcBorders>
          </w:tcPr>
          <w:p w14:paraId="556B2C10">
            <w:pPr>
              <w:spacing w:line="360" w:lineRule="auto"/>
              <w:jc w:val="center"/>
              <w:rPr>
                <w:rFonts w:eastAsia="楷体_GB2312"/>
                <w:color w:val="000000"/>
                <w:sz w:val="18"/>
              </w:rPr>
            </w:pPr>
          </w:p>
        </w:tc>
      </w:tr>
    </w:tbl>
    <w:p w14:paraId="39BF0F6A">
      <w:pPr>
        <w:spacing w:line="360" w:lineRule="auto"/>
        <w:rPr>
          <w:rFonts w:eastAsia="楷体_GB2312"/>
          <w:b/>
          <w:bCs/>
          <w:i/>
          <w:iCs/>
          <w:color w:val="FF0000"/>
        </w:rPr>
      </w:pPr>
      <w:r>
        <w:rPr>
          <w:rFonts w:eastAsia="楷体_GB2312"/>
          <w:b/>
          <w:bCs/>
          <w:i/>
          <w:iCs/>
          <w:color w:val="FF0000"/>
        </w:rPr>
        <w:t>【注：</w:t>
      </w:r>
      <w:bookmarkStart w:id="812" w:name="_Hlk227694937"/>
      <w:r>
        <w:rPr>
          <w:rFonts w:hint="eastAsia" w:eastAsia="楷体_GB2312"/>
          <w:b/>
          <w:bCs/>
          <w:i/>
          <w:iCs/>
          <w:color w:val="FF0000"/>
        </w:rPr>
        <w:t>关于报告期内应披露的重大</w:t>
      </w:r>
      <w:r>
        <w:rPr>
          <w:rFonts w:eastAsia="楷体_GB2312"/>
          <w:b/>
          <w:bCs/>
          <w:i/>
          <w:iCs/>
          <w:color w:val="FF0000"/>
        </w:rPr>
        <w:t>事件需</w:t>
      </w:r>
      <w:r>
        <w:rPr>
          <w:rFonts w:hint="eastAsia" w:eastAsia="楷体_GB2312"/>
          <w:b/>
          <w:bCs/>
          <w:i/>
          <w:iCs/>
          <w:color w:val="FF0000"/>
        </w:rPr>
        <w:t>结合最新的规定予以补充或调整</w:t>
      </w:r>
      <w:bookmarkEnd w:id="812"/>
      <w:r>
        <w:rPr>
          <w:rFonts w:eastAsia="楷体_GB2312"/>
          <w:b/>
          <w:bCs/>
          <w:i/>
          <w:iCs/>
          <w:color w:val="FF0000"/>
        </w:rPr>
        <w:t>。】</w:t>
      </w:r>
    </w:p>
    <w:p w14:paraId="71BF33C4">
      <w:pPr>
        <w:spacing w:line="360" w:lineRule="auto"/>
        <w:rPr>
          <w:rFonts w:eastAsia="楷体_GB2312"/>
        </w:rPr>
      </w:pPr>
    </w:p>
    <w:p w14:paraId="4F31D360">
      <w:pPr>
        <w:spacing w:line="360" w:lineRule="auto"/>
        <w:rPr>
          <w:rFonts w:eastAsia="楷体_GB2312"/>
          <w:color w:val="000000"/>
        </w:rPr>
      </w:pPr>
    </w:p>
    <w:p w14:paraId="4586D660">
      <w:pPr>
        <w:spacing w:line="360" w:lineRule="auto"/>
        <w:ind w:right="105"/>
        <w:jc w:val="right"/>
        <w:rPr>
          <w:rFonts w:eastAsia="楷体_GB2312"/>
          <w:color w:val="000000"/>
        </w:rPr>
      </w:pPr>
      <w:r>
        <w:rPr>
          <w:rFonts w:eastAsia="楷体_GB2312"/>
          <w:color w:val="000000"/>
        </w:rPr>
        <w:t>【受托机构全称】</w:t>
      </w:r>
    </w:p>
    <w:p w14:paraId="60DB0C2C">
      <w:pPr>
        <w:spacing w:line="360" w:lineRule="auto"/>
        <w:jc w:val="right"/>
        <w:rPr>
          <w:rFonts w:eastAsia="楷体_GB2312"/>
          <w:color w:val="000000"/>
        </w:rPr>
      </w:pPr>
      <w:r>
        <w:rPr>
          <w:rFonts w:eastAsia="楷体_GB2312"/>
          <w:color w:val="000000"/>
        </w:rPr>
        <w:t>【】年【】月【】日</w:t>
      </w:r>
    </w:p>
    <w:p w14:paraId="4E6ED205">
      <w:pPr>
        <w:spacing w:line="360" w:lineRule="auto"/>
        <w:ind w:right="105"/>
        <w:jc w:val="right"/>
        <w:rPr>
          <w:rFonts w:eastAsia="楷体_GB2312"/>
          <w:b/>
          <w:sz w:val="24"/>
        </w:rPr>
      </w:pPr>
    </w:p>
    <w:p w14:paraId="0C7BE216">
      <w:pPr>
        <w:widowControl/>
        <w:jc w:val="left"/>
        <w:rPr>
          <w:rFonts w:eastAsia="楷体_GB2312"/>
          <w:b/>
          <w:sz w:val="24"/>
        </w:rPr>
      </w:pPr>
      <w:r>
        <w:rPr>
          <w:rFonts w:eastAsia="楷体_GB2312"/>
          <w:b/>
          <w:sz w:val="24"/>
        </w:rPr>
        <w:br w:type="page"/>
      </w:r>
    </w:p>
    <w:bookmarkEnd w:id="802"/>
    <w:p w14:paraId="079D186C">
      <w:pPr>
        <w:spacing w:line="380" w:lineRule="exact"/>
        <w:outlineLvl w:val="0"/>
        <w:rPr>
          <w:rFonts w:eastAsia="楷体_GB2312"/>
          <w:b/>
          <w:sz w:val="24"/>
        </w:rPr>
      </w:pPr>
      <w:bookmarkStart w:id="813" w:name="_Toc11518"/>
      <w:bookmarkStart w:id="814" w:name="_Toc221382887"/>
      <w:r>
        <w:rPr>
          <w:rFonts w:eastAsia="楷体_GB2312"/>
          <w:b/>
          <w:sz w:val="24"/>
        </w:rPr>
        <w:t>附件</w:t>
      </w:r>
      <w:bookmarkStart w:id="815" w:name="_Toc391534600"/>
      <w:r>
        <w:rPr>
          <w:rFonts w:eastAsia="楷体_GB2312"/>
          <w:b/>
          <w:sz w:val="24"/>
        </w:rPr>
        <w:t>十二：受托机构收费函</w:t>
      </w:r>
      <w:bookmarkEnd w:id="803"/>
      <w:bookmarkEnd w:id="804"/>
      <w:bookmarkEnd w:id="805"/>
      <w:bookmarkEnd w:id="806"/>
      <w:bookmarkEnd w:id="807"/>
      <w:bookmarkEnd w:id="808"/>
      <w:bookmarkEnd w:id="809"/>
      <w:bookmarkEnd w:id="810"/>
      <w:bookmarkEnd w:id="811"/>
      <w:bookmarkEnd w:id="813"/>
      <w:bookmarkEnd w:id="814"/>
      <w:bookmarkEnd w:id="815"/>
    </w:p>
    <w:p w14:paraId="30BEA414">
      <w:pPr>
        <w:spacing w:line="380" w:lineRule="atLeast"/>
        <w:rPr>
          <w:rFonts w:eastAsia="楷体_GB2312"/>
          <w:b/>
          <w:bCs/>
          <w:i/>
          <w:iCs/>
          <w:color w:val="FF0000"/>
          <w:sz w:val="24"/>
        </w:rPr>
      </w:pPr>
      <w:r>
        <w:rPr>
          <w:rFonts w:eastAsia="楷体_GB2312"/>
          <w:b/>
          <w:bCs/>
          <w:i/>
          <w:iCs/>
          <w:color w:val="FF0000"/>
          <w:sz w:val="24"/>
        </w:rPr>
        <w:t>【注：受托机构信托报酬的计算公式、费率、支付方式可根据项目具体安排调整。】</w:t>
      </w:r>
    </w:p>
    <w:p w14:paraId="1CA959A0">
      <w:pPr>
        <w:spacing w:line="380" w:lineRule="atLeast"/>
        <w:rPr>
          <w:rFonts w:eastAsia="楷体_GB2312"/>
          <w:b/>
          <w:sz w:val="24"/>
        </w:rPr>
      </w:pPr>
    </w:p>
    <w:p w14:paraId="27E0181B">
      <w:pPr>
        <w:spacing w:line="380" w:lineRule="atLeast"/>
        <w:jc w:val="center"/>
        <w:rPr>
          <w:rFonts w:eastAsia="楷体_GB2312"/>
          <w:b/>
          <w:sz w:val="24"/>
        </w:rPr>
      </w:pPr>
      <w:r>
        <w:rPr>
          <w:rFonts w:eastAsia="楷体_GB2312"/>
          <w:b/>
          <w:sz w:val="24"/>
        </w:rPr>
        <w:t>受托机构收费函</w:t>
      </w:r>
    </w:p>
    <w:p w14:paraId="5B099A80">
      <w:pPr>
        <w:spacing w:line="380" w:lineRule="atLeast"/>
        <w:jc w:val="center"/>
        <w:rPr>
          <w:rFonts w:eastAsia="楷体_GB2312"/>
          <w:b/>
          <w:sz w:val="24"/>
        </w:rPr>
      </w:pPr>
    </w:p>
    <w:p w14:paraId="1A790069">
      <w:pPr>
        <w:rPr>
          <w:rFonts w:eastAsia="楷体_GB2312"/>
          <w:b/>
          <w:color w:val="000000"/>
          <w:sz w:val="24"/>
        </w:rPr>
      </w:pPr>
      <w:r>
        <w:rPr>
          <w:rFonts w:eastAsia="楷体_GB2312"/>
          <w:b/>
          <w:color w:val="000000"/>
          <w:sz w:val="24"/>
        </w:rPr>
        <w:t>关于：【信托名称】的受托机构报酬及费用支出</w:t>
      </w:r>
    </w:p>
    <w:p w14:paraId="2F1182CE">
      <w:pPr>
        <w:tabs>
          <w:tab w:val="left" w:pos="8280"/>
        </w:tabs>
        <w:ind w:firstLine="480" w:firstLineChars="200"/>
        <w:rPr>
          <w:rFonts w:eastAsia="楷体_GB2312"/>
          <w:sz w:val="24"/>
        </w:rPr>
      </w:pPr>
    </w:p>
    <w:p w14:paraId="4DD3D753">
      <w:pPr>
        <w:spacing w:before="156" w:beforeLines="50" w:after="156" w:afterLines="50" w:line="440" w:lineRule="exact"/>
        <w:ind w:firstLine="480" w:firstLineChars="200"/>
        <w:rPr>
          <w:rFonts w:eastAsia="楷体_GB2312"/>
          <w:sz w:val="24"/>
        </w:rPr>
      </w:pPr>
      <w:r>
        <w:rPr>
          <w:rFonts w:eastAsia="楷体_GB2312"/>
          <w:sz w:val="24"/>
        </w:rPr>
        <w:t>【受托机构全称】（“受托机构”）在信托存续期间（“收费期间”）依约提供了编号为【信托合同号】的《</w:t>
      </w:r>
      <w:r>
        <w:rPr>
          <w:rFonts w:eastAsia="楷体_GB2312"/>
          <w:color w:val="000000"/>
          <w:sz w:val="24"/>
        </w:rPr>
        <w:t>【信托名称】</w:t>
      </w:r>
      <w:r>
        <w:rPr>
          <w:rFonts w:eastAsia="楷体_GB2312"/>
          <w:sz w:val="24"/>
        </w:rPr>
        <w:t>之信托合同》（“《信托合同》”）项下的服务。受托机构报酬年费率为【】%（一年按照365天计）。每一个“支付日”受托机构应收取的受托机构报酬=【】。“受托机构”有权按照“《信托合同》”第</w:t>
      </w:r>
      <w:r>
        <w:rPr>
          <w:rFonts w:eastAsia="楷体_GB2312"/>
          <w:sz w:val="24"/>
        </w:rPr>
        <w:fldChar w:fldCharType="begin"/>
      </w:r>
      <w:r>
        <w:rPr>
          <w:rFonts w:eastAsia="楷体_GB2312"/>
          <w:sz w:val="24"/>
        </w:rPr>
        <w:instrText xml:space="preserve"> REF _Ref221734941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条的约定获得该报酬。</w:t>
      </w:r>
    </w:p>
    <w:p w14:paraId="52F877B9">
      <w:pPr>
        <w:spacing w:before="156" w:beforeLines="50" w:after="156" w:afterLines="50" w:line="440" w:lineRule="exact"/>
        <w:ind w:firstLine="480" w:firstLineChars="200"/>
        <w:rPr>
          <w:rFonts w:eastAsia="楷体_GB2312"/>
          <w:sz w:val="24"/>
        </w:rPr>
      </w:pPr>
      <w:r>
        <w:rPr>
          <w:rFonts w:eastAsia="楷体_GB2312"/>
          <w:sz w:val="24"/>
        </w:rPr>
        <w:t>同时，在上述收费期间，“受托机构”为提供“《信托合同》”项下的服务所发生的“费用支出”由“受托机构”按照“《信托合同》”第</w:t>
      </w:r>
      <w:r>
        <w:rPr>
          <w:rFonts w:eastAsia="楷体_GB2312"/>
          <w:sz w:val="24"/>
        </w:rPr>
        <w:fldChar w:fldCharType="begin"/>
      </w:r>
      <w:r>
        <w:rPr>
          <w:rFonts w:eastAsia="楷体_GB2312"/>
          <w:sz w:val="24"/>
        </w:rPr>
        <w:instrText xml:space="preserve"> REF _Ref169088813 \r \h  \* MERGEFORMAT </w:instrText>
      </w:r>
      <w:r>
        <w:rPr>
          <w:rFonts w:eastAsia="楷体_GB2312"/>
          <w:sz w:val="24"/>
        </w:rPr>
        <w:fldChar w:fldCharType="separate"/>
      </w:r>
      <w:r>
        <w:rPr>
          <w:rFonts w:eastAsia="楷体_GB2312"/>
          <w:sz w:val="24"/>
        </w:rPr>
        <w:t>10</w:t>
      </w:r>
      <w:r>
        <w:rPr>
          <w:rFonts w:eastAsia="楷体_GB2312"/>
          <w:sz w:val="24"/>
        </w:rPr>
        <w:fldChar w:fldCharType="end"/>
      </w:r>
      <w:r>
        <w:rPr>
          <w:rFonts w:eastAsia="楷体_GB2312"/>
          <w:sz w:val="24"/>
        </w:rPr>
        <w:t>条的约定收取。</w:t>
      </w:r>
    </w:p>
    <w:p w14:paraId="2115D59E">
      <w:pPr>
        <w:spacing w:before="156" w:beforeLines="50" w:after="156" w:afterLines="50" w:line="440" w:lineRule="exact"/>
        <w:ind w:firstLine="480" w:firstLineChars="200"/>
        <w:rPr>
          <w:rFonts w:eastAsia="楷体_GB2312"/>
          <w:sz w:val="24"/>
        </w:rPr>
      </w:pPr>
    </w:p>
    <w:p w14:paraId="5DB0C6F8">
      <w:pPr>
        <w:rPr>
          <w:rFonts w:eastAsia="楷体_GB2312"/>
          <w:b/>
          <w:sz w:val="24"/>
        </w:rPr>
      </w:pPr>
      <w:r>
        <w:rPr>
          <w:rFonts w:eastAsia="楷体_GB2312"/>
          <w:b/>
          <w:sz w:val="24"/>
        </w:rPr>
        <w:t>【发起机构全称】（盖章）</w:t>
      </w:r>
    </w:p>
    <w:p w14:paraId="61CDF740">
      <w:pPr>
        <w:rPr>
          <w:rFonts w:eastAsia="楷体_GB2312"/>
          <w:b/>
          <w:sz w:val="24"/>
        </w:rPr>
      </w:pPr>
      <w:r>
        <w:rPr>
          <w:rFonts w:eastAsia="楷体_GB2312"/>
          <w:b/>
          <w:sz w:val="24"/>
        </w:rPr>
        <w:t>法定代表人或授权代理人：</w:t>
      </w:r>
    </w:p>
    <w:p w14:paraId="35934651">
      <w:pPr>
        <w:rPr>
          <w:rFonts w:eastAsia="楷体_GB2312"/>
          <w:b/>
          <w:sz w:val="24"/>
        </w:rPr>
      </w:pPr>
      <w:r>
        <w:rPr>
          <w:rFonts w:eastAsia="楷体_GB2312"/>
          <w:b/>
          <w:sz w:val="24"/>
        </w:rPr>
        <w:t>【  】年【  】月【  】日</w:t>
      </w:r>
    </w:p>
    <w:p w14:paraId="6DFD52C3">
      <w:pPr>
        <w:rPr>
          <w:rFonts w:eastAsia="楷体_GB2312"/>
          <w:b/>
          <w:sz w:val="24"/>
        </w:rPr>
      </w:pPr>
    </w:p>
    <w:p w14:paraId="2A5CEBAB">
      <w:pPr>
        <w:rPr>
          <w:rFonts w:eastAsia="楷体_GB2312"/>
          <w:b/>
          <w:sz w:val="24"/>
        </w:rPr>
      </w:pPr>
    </w:p>
    <w:p w14:paraId="49C9B718">
      <w:pPr>
        <w:rPr>
          <w:rFonts w:eastAsia="楷体_GB2312"/>
          <w:b/>
          <w:sz w:val="24"/>
        </w:rPr>
      </w:pPr>
    </w:p>
    <w:p w14:paraId="5A81E17E">
      <w:pPr>
        <w:rPr>
          <w:rFonts w:eastAsia="楷体_GB2312"/>
          <w:b/>
          <w:sz w:val="24"/>
        </w:rPr>
      </w:pPr>
      <w:r>
        <w:rPr>
          <w:rFonts w:eastAsia="楷体_GB2312"/>
          <w:b/>
          <w:sz w:val="24"/>
        </w:rPr>
        <w:t>【受托机构全称】（盖章）</w:t>
      </w:r>
    </w:p>
    <w:p w14:paraId="43B48D71">
      <w:pPr>
        <w:rPr>
          <w:rFonts w:eastAsia="楷体_GB2312"/>
          <w:b/>
          <w:sz w:val="24"/>
        </w:rPr>
      </w:pPr>
      <w:r>
        <w:rPr>
          <w:rFonts w:eastAsia="楷体_GB2312"/>
          <w:b/>
          <w:sz w:val="24"/>
        </w:rPr>
        <w:t>法定代表人或授权代理人：</w:t>
      </w:r>
    </w:p>
    <w:p w14:paraId="00A30CC2">
      <w:pPr>
        <w:rPr>
          <w:rFonts w:eastAsia="楷体_GB2312"/>
          <w:b/>
          <w:sz w:val="24"/>
        </w:rPr>
      </w:pPr>
      <w:r>
        <w:rPr>
          <w:rFonts w:eastAsia="楷体_GB2312"/>
          <w:b/>
          <w:sz w:val="24"/>
        </w:rPr>
        <w:t>【  】年【  】月【  】日</w:t>
      </w:r>
    </w:p>
    <w:p w14:paraId="0A2D26C0">
      <w:pPr>
        <w:ind w:firstLine="482" w:firstLineChars="200"/>
        <w:rPr>
          <w:rFonts w:eastAsia="楷体_GB2312"/>
          <w:b/>
          <w:sz w:val="24"/>
        </w:rPr>
      </w:pPr>
    </w:p>
    <w:p w14:paraId="0134570A">
      <w:pPr>
        <w:rPr>
          <w:rFonts w:eastAsia="楷体_GB2312"/>
          <w:sz w:val="24"/>
        </w:rPr>
      </w:pPr>
    </w:p>
    <w:sectPr>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7258F">
    <w:pPr>
      <w:pStyle w:val="15"/>
      <w:framePr w:wrap="around" w:vAnchor="text" w:hAnchor="margin" w:xAlign="center" w:y="1"/>
      <w:tabs>
        <w:tab w:val="center" w:pos="4153"/>
        <w:tab w:val="right" w:pos="8306"/>
      </w:tabs>
      <w:rPr>
        <w:rStyle w:val="31"/>
      </w:rPr>
    </w:pPr>
    <w:r>
      <w:fldChar w:fldCharType="begin"/>
    </w:r>
    <w:r>
      <w:rPr>
        <w:rStyle w:val="31"/>
      </w:rPr>
      <w:instrText xml:space="preserve">PAGE  </w:instrText>
    </w:r>
    <w:r>
      <w:fldChar w:fldCharType="separate"/>
    </w:r>
    <w:r>
      <w:rPr>
        <w:rStyle w:val="31"/>
      </w:rPr>
      <w:t>94</w:t>
    </w:r>
    <w:r>
      <w:fldChar w:fldCharType="end"/>
    </w:r>
  </w:p>
  <w:p w14:paraId="5448ACCC">
    <w:pPr>
      <w:pStyle w:val="1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69504">
    <w:pPr>
      <w:pStyle w:val="15"/>
      <w:framePr w:wrap="around" w:vAnchor="text" w:hAnchor="margin" w:xAlign="center" w:y="1"/>
      <w:tabs>
        <w:tab w:val="center" w:pos="4153"/>
        <w:tab w:val="right" w:pos="8306"/>
      </w:tabs>
      <w:rPr>
        <w:rStyle w:val="31"/>
      </w:rPr>
    </w:pPr>
    <w:r>
      <w:fldChar w:fldCharType="begin"/>
    </w:r>
    <w:r>
      <w:rPr>
        <w:rStyle w:val="31"/>
      </w:rPr>
      <w:instrText xml:space="preserve">PAGE  </w:instrText>
    </w:r>
    <w:r>
      <w:fldChar w:fldCharType="separate"/>
    </w:r>
    <w:r>
      <w:rPr>
        <w:rStyle w:val="31"/>
      </w:rPr>
      <w:t>4</w:t>
    </w:r>
    <w:r>
      <w:fldChar w:fldCharType="end"/>
    </w:r>
  </w:p>
  <w:p w14:paraId="2F4FBB68">
    <w:pPr>
      <w:pStyle w:val="15"/>
      <w:tabs>
        <w:tab w:val="center" w:pos="4153"/>
        <w:tab w:val="right"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E96F9">
    <w:pPr>
      <w:pStyle w:val="15"/>
      <w:tabs>
        <w:tab w:val="center" w:pos="4153"/>
        <w:tab w:val="right" w:pos="8306"/>
      </w:tabs>
      <w:spacing w:before="120" w:after="12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155304"/>
    </w:sdtPr>
    <w:sdtContent>
      <w:p w14:paraId="7BC5ED92">
        <w:pPr>
          <w:pStyle w:val="15"/>
          <w:jc w:val="center"/>
        </w:pPr>
        <w:r>
          <w:fldChar w:fldCharType="begin"/>
        </w:r>
        <w:r>
          <w:instrText xml:space="preserve">PAGE   \* MERGEFORMAT</w:instrText>
        </w:r>
        <w:r>
          <w:fldChar w:fldCharType="separate"/>
        </w:r>
        <w:r>
          <w:rPr>
            <w:lang w:val="zh-CN"/>
          </w:rPr>
          <w:t>2</w:t>
        </w:r>
        <w:r>
          <w:fldChar w:fldCharType="end"/>
        </w:r>
      </w:p>
    </w:sdtContent>
  </w:sdt>
  <w:p w14:paraId="73380747">
    <w:pPr>
      <w:pStyle w:val="15"/>
      <w:rPr>
        <w:rFonts w:hint="eastAsia"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7731EE65">
      <w:pPr>
        <w:pStyle w:val="21"/>
        <w:rPr>
          <w:rFonts w:ascii="Times New Roman" w:hAnsi="Times New Roman" w:eastAsia="楷体_GB2312"/>
        </w:rPr>
      </w:pPr>
      <w:r>
        <w:rPr>
          <w:rStyle w:val="34"/>
          <w:rFonts w:ascii="Times New Roman" w:hAnsi="Times New Roman" w:eastAsia="楷体_GB2312"/>
        </w:rPr>
        <w:footnoteRef/>
      </w:r>
      <w:r>
        <w:rPr>
          <w:rFonts w:ascii="Times New Roman" w:hAnsi="Times New Roman" w:eastAsia="楷体_GB2312"/>
        </w:rPr>
        <w:t xml:space="preserve"> 本合同版本作为个人住房抵押贷款资产支持证券的标准范本供市场机构参考，非强制适用，合同条款可根据项目具体情况予以调整，法律法规另有规定的除外。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9A932E"/>
    <w:multiLevelType w:val="multilevel"/>
    <w:tmpl w:val="C69A932E"/>
    <w:lvl w:ilvl="0" w:tentative="0">
      <w:start w:val="1"/>
      <w:numFmt w:val="decimal"/>
      <w:lvlText w:val="%1"/>
      <w:lvlJc w:val="left"/>
      <w:pPr>
        <w:ind w:left="425" w:hanging="425"/>
      </w:pPr>
      <w:rPr>
        <w:rFonts w:hint="default" w:ascii="Times New Roman" w:hAnsi="Times New Roman" w:eastAsia="宋体" w:cs="Times New Roman"/>
        <w:b/>
        <w:bCs/>
      </w:rPr>
    </w:lvl>
    <w:lvl w:ilvl="1" w:tentative="0">
      <w:start w:val="1"/>
      <w:numFmt w:val="decimal"/>
      <w:lvlText w:val="%1.%2"/>
      <w:lvlJc w:val="left"/>
      <w:pPr>
        <w:ind w:left="850" w:hanging="453"/>
      </w:pPr>
      <w:rPr>
        <w:rFonts w:hint="default" w:ascii="Times New Roman" w:hAnsi="Times New Roman" w:eastAsia="宋体" w:cs="Times New Roman"/>
        <w:b/>
        <w:bCs/>
      </w:rPr>
    </w:lvl>
    <w:lvl w:ilvl="2" w:tentative="0">
      <w:start w:val="1"/>
      <w:numFmt w:val="decimal"/>
      <w:lvlText w:val="%1.%2.%3"/>
      <w:lvlJc w:val="left"/>
      <w:pPr>
        <w:ind w:left="1508" w:hanging="708"/>
      </w:pPr>
      <w:rPr>
        <w:rFonts w:hint="default" w:ascii="Times New Roman" w:hAnsi="Times New Roman" w:eastAsia="宋体" w:cs="Times New Roman"/>
        <w:b/>
        <w:bCs w:val="0"/>
        <w:sz w:val="24"/>
        <w:szCs w:val="24"/>
      </w:rPr>
    </w:lvl>
    <w:lvl w:ilvl="3" w:tentative="0">
      <w:start w:val="1"/>
      <w:numFmt w:val="decimal"/>
      <w:lvlText w:val="%1.%2.%3.%4"/>
      <w:lvlJc w:val="left"/>
      <w:pPr>
        <w:ind w:left="2053" w:hanging="853"/>
      </w:pPr>
      <w:rPr>
        <w:rFonts w:hint="default" w:ascii="Times New Roman" w:hAnsi="Times New Roman" w:eastAsia="宋体" w:cs="Times New Roman"/>
        <w:b/>
        <w:bCs/>
      </w:rPr>
    </w:lvl>
    <w:lvl w:ilvl="4" w:tentative="0">
      <w:start w:val="1"/>
      <w:numFmt w:val="decimal"/>
      <w:lvlText w:val="%1.%2.%3.%4.%5"/>
      <w:lvlJc w:val="left"/>
      <w:pPr>
        <w:ind w:left="2495" w:hanging="895"/>
      </w:pPr>
      <w:rPr>
        <w:rFonts w:hint="default" w:ascii="宋体" w:hAnsi="宋体" w:eastAsia="宋体" w:cs="宋体"/>
      </w:rPr>
    </w:lvl>
    <w:lvl w:ilvl="5" w:tentative="0">
      <w:start w:val="1"/>
      <w:numFmt w:val="decimal"/>
      <w:lvlText w:val="%1.%2.%3.%4.%5.%6"/>
      <w:lvlJc w:val="left"/>
      <w:pPr>
        <w:ind w:left="3136" w:hanging="1136"/>
      </w:pPr>
      <w:rPr>
        <w:rFonts w:hint="default" w:ascii="宋体" w:hAnsi="宋体" w:eastAsia="宋体" w:cs="宋体"/>
      </w:rPr>
    </w:lvl>
    <w:lvl w:ilvl="6" w:tentative="0">
      <w:start w:val="1"/>
      <w:numFmt w:val="decimal"/>
      <w:lvlText w:val="%1.%2.%3.%4.%5.%6.%7"/>
      <w:lvlJc w:val="left"/>
      <w:pPr>
        <w:ind w:left="3673" w:hanging="1273"/>
      </w:pPr>
      <w:rPr>
        <w:rFonts w:hint="default" w:ascii="宋体" w:hAnsi="宋体" w:eastAsia="宋体" w:cs="宋体"/>
      </w:rPr>
    </w:lvl>
    <w:lvl w:ilvl="7" w:tentative="0">
      <w:start w:val="1"/>
      <w:numFmt w:val="decimal"/>
      <w:lvlText w:val="%1.%2.%3.%4.%5.%6.%7.%8"/>
      <w:lvlJc w:val="left"/>
      <w:pPr>
        <w:ind w:left="4218" w:hanging="1418"/>
      </w:pPr>
      <w:rPr>
        <w:rFonts w:hint="default" w:ascii="宋体" w:hAnsi="宋体" w:eastAsia="宋体" w:cs="宋体"/>
      </w:rPr>
    </w:lvl>
    <w:lvl w:ilvl="8" w:tentative="0">
      <w:start w:val="1"/>
      <w:numFmt w:val="decimal"/>
      <w:lvlText w:val="%1.%2.%3.%4.%5.%6.%7.%8.%9"/>
      <w:lvlJc w:val="left"/>
      <w:pPr>
        <w:ind w:left="4648" w:hanging="1448"/>
      </w:pPr>
      <w:rPr>
        <w:rFonts w:hint="default" w:ascii="宋体" w:hAnsi="宋体" w:eastAsia="宋体" w:cs="宋体"/>
      </w:rPr>
    </w:lvl>
  </w:abstractNum>
  <w:abstractNum w:abstractNumId="1">
    <w:nsid w:val="0B6E2E58"/>
    <w:multiLevelType w:val="multilevel"/>
    <w:tmpl w:val="0B6E2E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CD27C28"/>
    <w:multiLevelType w:val="multilevel"/>
    <w:tmpl w:val="0CD27C28"/>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3">
    <w:nsid w:val="0E4C3AFF"/>
    <w:multiLevelType w:val="multilevel"/>
    <w:tmpl w:val="0E4C3AFF"/>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4">
    <w:nsid w:val="160A2CA5"/>
    <w:multiLevelType w:val="multilevel"/>
    <w:tmpl w:val="160A2CA5"/>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5">
    <w:nsid w:val="166C6F9B"/>
    <w:multiLevelType w:val="multilevel"/>
    <w:tmpl w:val="166C6F9B"/>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6">
    <w:nsid w:val="17A1428A"/>
    <w:multiLevelType w:val="multilevel"/>
    <w:tmpl w:val="17A1428A"/>
    <w:lvl w:ilvl="0" w:tentative="0">
      <w:start w:val="1"/>
      <w:numFmt w:val="lowerLetter"/>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F7E595D"/>
    <w:multiLevelType w:val="multilevel"/>
    <w:tmpl w:val="1F7E595D"/>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8">
    <w:nsid w:val="2021480D"/>
    <w:multiLevelType w:val="multilevel"/>
    <w:tmpl w:val="2021480D"/>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9">
    <w:nsid w:val="267C0A3C"/>
    <w:multiLevelType w:val="multilevel"/>
    <w:tmpl w:val="267C0A3C"/>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0">
    <w:nsid w:val="273E3868"/>
    <w:multiLevelType w:val="multilevel"/>
    <w:tmpl w:val="273E3868"/>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1">
    <w:nsid w:val="2A74698E"/>
    <w:multiLevelType w:val="multilevel"/>
    <w:tmpl w:val="2A74698E"/>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900"/>
        </w:tabs>
        <w:ind w:left="-90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60"/>
        </w:tabs>
        <w:ind w:left="-60" w:hanging="420"/>
      </w:pPr>
    </w:lvl>
    <w:lvl w:ilvl="4" w:tentative="0">
      <w:start w:val="1"/>
      <w:numFmt w:val="lowerLetter"/>
      <w:lvlText w:val="%5)"/>
      <w:lvlJc w:val="left"/>
      <w:pPr>
        <w:tabs>
          <w:tab w:val="left" w:pos="360"/>
        </w:tabs>
        <w:ind w:left="360" w:hanging="420"/>
      </w:pPr>
    </w:lvl>
    <w:lvl w:ilvl="5" w:tentative="0">
      <w:start w:val="1"/>
      <w:numFmt w:val="lowerRoman"/>
      <w:lvlText w:val="%6."/>
      <w:lvlJc w:val="right"/>
      <w:pPr>
        <w:tabs>
          <w:tab w:val="left" w:pos="780"/>
        </w:tabs>
        <w:ind w:left="780" w:hanging="420"/>
      </w:pPr>
    </w:lvl>
    <w:lvl w:ilvl="6" w:tentative="0">
      <w:start w:val="1"/>
      <w:numFmt w:val="decimal"/>
      <w:lvlText w:val="%7."/>
      <w:lvlJc w:val="left"/>
      <w:pPr>
        <w:tabs>
          <w:tab w:val="left" w:pos="1200"/>
        </w:tabs>
        <w:ind w:left="1200" w:hanging="420"/>
      </w:pPr>
    </w:lvl>
    <w:lvl w:ilvl="7" w:tentative="0">
      <w:start w:val="1"/>
      <w:numFmt w:val="lowerLetter"/>
      <w:lvlText w:val="%8)"/>
      <w:lvlJc w:val="left"/>
      <w:pPr>
        <w:tabs>
          <w:tab w:val="left" w:pos="1620"/>
        </w:tabs>
        <w:ind w:left="1620" w:hanging="420"/>
      </w:pPr>
    </w:lvl>
    <w:lvl w:ilvl="8" w:tentative="0">
      <w:start w:val="1"/>
      <w:numFmt w:val="lowerRoman"/>
      <w:lvlText w:val="%9."/>
      <w:lvlJc w:val="right"/>
      <w:pPr>
        <w:tabs>
          <w:tab w:val="left" w:pos="2040"/>
        </w:tabs>
        <w:ind w:left="2040" w:hanging="420"/>
      </w:pPr>
    </w:lvl>
  </w:abstractNum>
  <w:abstractNum w:abstractNumId="12">
    <w:nsid w:val="2D5E37AA"/>
    <w:multiLevelType w:val="multilevel"/>
    <w:tmpl w:val="2D5E37AA"/>
    <w:lvl w:ilvl="0" w:tentative="0">
      <w:start w:val="1"/>
      <w:numFmt w:val="lowerLetter"/>
      <w:lvlText w:val="(%1)"/>
      <w:lvlJc w:val="left"/>
      <w:pPr>
        <w:tabs>
          <w:tab w:val="left" w:pos="2405"/>
        </w:tabs>
        <w:ind w:left="2405" w:hanging="420"/>
      </w:pPr>
      <w:rPr>
        <w:rFonts w:hint="eastAsia"/>
        <w:b w:val="0"/>
      </w:rPr>
    </w:lvl>
    <w:lvl w:ilvl="1" w:tentative="0">
      <w:start w:val="1"/>
      <w:numFmt w:val="lowerLetter"/>
      <w:lvlText w:val="%2)"/>
      <w:lvlJc w:val="left"/>
      <w:pPr>
        <w:tabs>
          <w:tab w:val="left" w:pos="1549"/>
        </w:tabs>
        <w:ind w:left="1549" w:hanging="420"/>
      </w:pPr>
    </w:lvl>
    <w:lvl w:ilvl="2" w:tentative="0">
      <w:start w:val="1"/>
      <w:numFmt w:val="lowerRoman"/>
      <w:lvlText w:val="%3."/>
      <w:lvlJc w:val="right"/>
      <w:pPr>
        <w:tabs>
          <w:tab w:val="left" w:pos="1969"/>
        </w:tabs>
        <w:ind w:left="1969" w:hanging="420"/>
      </w:pPr>
    </w:lvl>
    <w:lvl w:ilvl="3" w:tentative="0">
      <w:start w:val="1"/>
      <w:numFmt w:val="decimal"/>
      <w:lvlText w:val="%4."/>
      <w:lvlJc w:val="left"/>
      <w:pPr>
        <w:tabs>
          <w:tab w:val="left" w:pos="2389"/>
        </w:tabs>
        <w:ind w:left="2389" w:hanging="420"/>
      </w:pPr>
    </w:lvl>
    <w:lvl w:ilvl="4" w:tentative="0">
      <w:start w:val="1"/>
      <w:numFmt w:val="lowerLetter"/>
      <w:lvlText w:val="%5)"/>
      <w:lvlJc w:val="left"/>
      <w:pPr>
        <w:tabs>
          <w:tab w:val="left" w:pos="2809"/>
        </w:tabs>
        <w:ind w:left="2809" w:hanging="420"/>
      </w:pPr>
    </w:lvl>
    <w:lvl w:ilvl="5" w:tentative="0">
      <w:start w:val="1"/>
      <w:numFmt w:val="lowerRoman"/>
      <w:lvlText w:val="%6."/>
      <w:lvlJc w:val="right"/>
      <w:pPr>
        <w:tabs>
          <w:tab w:val="left" w:pos="3229"/>
        </w:tabs>
        <w:ind w:left="3229" w:hanging="420"/>
      </w:pPr>
    </w:lvl>
    <w:lvl w:ilvl="6" w:tentative="0">
      <w:start w:val="1"/>
      <w:numFmt w:val="decimal"/>
      <w:lvlText w:val="%7."/>
      <w:lvlJc w:val="left"/>
      <w:pPr>
        <w:tabs>
          <w:tab w:val="left" w:pos="3649"/>
        </w:tabs>
        <w:ind w:left="3649" w:hanging="420"/>
      </w:pPr>
    </w:lvl>
    <w:lvl w:ilvl="7" w:tentative="0">
      <w:start w:val="1"/>
      <w:numFmt w:val="lowerLetter"/>
      <w:lvlText w:val="%8)"/>
      <w:lvlJc w:val="left"/>
      <w:pPr>
        <w:tabs>
          <w:tab w:val="left" w:pos="4069"/>
        </w:tabs>
        <w:ind w:left="4069" w:hanging="420"/>
      </w:pPr>
    </w:lvl>
    <w:lvl w:ilvl="8" w:tentative="0">
      <w:start w:val="1"/>
      <w:numFmt w:val="lowerRoman"/>
      <w:lvlText w:val="%9."/>
      <w:lvlJc w:val="right"/>
      <w:pPr>
        <w:tabs>
          <w:tab w:val="left" w:pos="4489"/>
        </w:tabs>
        <w:ind w:left="4489" w:hanging="420"/>
      </w:pPr>
    </w:lvl>
  </w:abstractNum>
  <w:abstractNum w:abstractNumId="13">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4">
    <w:nsid w:val="2FBE59D3"/>
    <w:multiLevelType w:val="multilevel"/>
    <w:tmpl w:val="2FBE59D3"/>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5">
    <w:nsid w:val="33A872A4"/>
    <w:multiLevelType w:val="multilevel"/>
    <w:tmpl w:val="33A872A4"/>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6">
    <w:nsid w:val="38085A84"/>
    <w:multiLevelType w:val="multilevel"/>
    <w:tmpl w:val="38085A84"/>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7">
    <w:nsid w:val="3B6550DA"/>
    <w:multiLevelType w:val="multilevel"/>
    <w:tmpl w:val="3B6550DA"/>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8">
    <w:nsid w:val="493E093C"/>
    <w:multiLevelType w:val="multilevel"/>
    <w:tmpl w:val="493E093C"/>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19">
    <w:nsid w:val="4A1D6F98"/>
    <w:multiLevelType w:val="multilevel"/>
    <w:tmpl w:val="4A1D6F98"/>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0">
    <w:nsid w:val="4A456FE1"/>
    <w:multiLevelType w:val="multilevel"/>
    <w:tmpl w:val="4A456FE1"/>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1">
    <w:nsid w:val="4CDA02C9"/>
    <w:multiLevelType w:val="multilevel"/>
    <w:tmpl w:val="4CDA02C9"/>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2">
    <w:nsid w:val="580E516B"/>
    <w:multiLevelType w:val="multilevel"/>
    <w:tmpl w:val="580E516B"/>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3">
    <w:nsid w:val="587E213E"/>
    <w:multiLevelType w:val="multilevel"/>
    <w:tmpl w:val="587E213E"/>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4">
    <w:nsid w:val="613752D6"/>
    <w:multiLevelType w:val="multilevel"/>
    <w:tmpl w:val="613752D6"/>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5">
    <w:nsid w:val="64391876"/>
    <w:multiLevelType w:val="multilevel"/>
    <w:tmpl w:val="64391876"/>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6">
    <w:nsid w:val="67DC2748"/>
    <w:multiLevelType w:val="multilevel"/>
    <w:tmpl w:val="67DC2748"/>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7">
    <w:nsid w:val="69773A05"/>
    <w:multiLevelType w:val="multilevel"/>
    <w:tmpl w:val="69773A05"/>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8">
    <w:nsid w:val="698E484C"/>
    <w:multiLevelType w:val="multilevel"/>
    <w:tmpl w:val="698E484C"/>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29">
    <w:nsid w:val="6A08721D"/>
    <w:multiLevelType w:val="multilevel"/>
    <w:tmpl w:val="6A08721D"/>
    <w:lvl w:ilvl="0" w:tentative="0">
      <w:start w:val="1"/>
      <w:numFmt w:val="decimal"/>
      <w:lvlText w:val="(%1)"/>
      <w:lvlJc w:val="left"/>
      <w:pPr>
        <w:ind w:left="2040" w:hanging="420"/>
      </w:pPr>
      <w:rPr>
        <w:rFonts w:hint="eastAsia"/>
        <w:b w:val="0"/>
        <w:bCs/>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30">
    <w:nsid w:val="6B5E4B43"/>
    <w:multiLevelType w:val="multilevel"/>
    <w:tmpl w:val="6B5E4B43"/>
    <w:lvl w:ilvl="0" w:tentative="0">
      <w:start w:val="0"/>
      <w:numFmt w:val="none"/>
      <w:pStyle w:val="57"/>
      <w:lvlText w:val=""/>
      <w:lvlJc w:val="left"/>
      <w:pPr>
        <w:tabs>
          <w:tab w:val="left" w:pos="360"/>
        </w:tabs>
      </w:pPr>
    </w:lvl>
    <w:lvl w:ilvl="1" w:tentative="0">
      <w:start w:val="1"/>
      <w:numFmt w:val="decimal"/>
      <w:pStyle w:val="58"/>
      <w:lvlText w:val="%1.%2"/>
      <w:lvlJc w:val="left"/>
      <w:pPr>
        <w:tabs>
          <w:tab w:val="left" w:pos="720"/>
        </w:tabs>
        <w:ind w:left="0" w:firstLine="0"/>
      </w:pPr>
      <w:rPr>
        <w:rFonts w:ascii="Times New Roman" w:hAnsi="Times New Roman"/>
        <w:b w:val="0"/>
        <w:i w:val="0"/>
        <w:caps w:val="0"/>
        <w:color w:val="auto"/>
        <w:u w:val="none"/>
      </w:rPr>
    </w:lvl>
    <w:lvl w:ilvl="2" w:tentative="0">
      <w:start w:val="1"/>
      <w:numFmt w:val="decimal"/>
      <w:lvlText w:val="(%3)"/>
      <w:lvlJc w:val="left"/>
      <w:pPr>
        <w:tabs>
          <w:tab w:val="left" w:pos="900"/>
        </w:tabs>
        <w:ind w:left="900" w:hanging="720"/>
      </w:pPr>
      <w:rPr>
        <w:rFonts w:hint="default"/>
        <w:b w:val="0"/>
        <w:i w:val="0"/>
        <w:caps w:val="0"/>
        <w:color w:val="auto"/>
        <w:u w:val="none"/>
      </w:rPr>
    </w:lvl>
    <w:lvl w:ilvl="3" w:tentative="0">
      <w:start w:val="1"/>
      <w:numFmt w:val="lowerRoman"/>
      <w:pStyle w:val="60"/>
      <w:lvlText w:val="(%4)"/>
      <w:lvlJc w:val="right"/>
      <w:pPr>
        <w:tabs>
          <w:tab w:val="left" w:pos="1440"/>
        </w:tabs>
        <w:ind w:left="1440" w:hanging="216"/>
      </w:pPr>
      <w:rPr>
        <w:rFonts w:ascii="Times New Roman" w:hAnsi="Times New Roman"/>
        <w:b w:val="0"/>
        <w:i w:val="0"/>
        <w:caps w:val="0"/>
        <w:color w:val="auto"/>
        <w:u w:val="none"/>
      </w:rPr>
    </w:lvl>
    <w:lvl w:ilvl="4" w:tentative="0">
      <w:start w:val="1"/>
      <w:numFmt w:val="upperLetter"/>
      <w:pStyle w:val="61"/>
      <w:lvlText w:val="(%5)"/>
      <w:lvlJc w:val="left"/>
      <w:pPr>
        <w:tabs>
          <w:tab w:val="left" w:pos="2160"/>
        </w:tabs>
        <w:ind w:left="2160" w:hanging="720"/>
      </w:pPr>
      <w:rPr>
        <w:rFonts w:ascii="Times New Roman" w:hAnsi="Times New Roman"/>
        <w:b w:val="0"/>
        <w:i w:val="0"/>
        <w:caps w:val="0"/>
        <w:color w:val="auto"/>
        <w:u w:val="none"/>
      </w:rPr>
    </w:lvl>
    <w:lvl w:ilvl="5" w:tentative="0">
      <w:start w:val="1"/>
      <w:numFmt w:val="upperRoman"/>
      <w:pStyle w:val="62"/>
      <w:lvlText w:val="(%6)"/>
      <w:lvlJc w:val="right"/>
      <w:pPr>
        <w:tabs>
          <w:tab w:val="left" w:pos="2880"/>
        </w:tabs>
        <w:ind w:left="2880" w:hanging="216"/>
      </w:pPr>
      <w:rPr>
        <w:rFonts w:ascii="Times New Roman" w:hAnsi="Times New Roman"/>
        <w:b w:val="0"/>
        <w:i w:val="0"/>
        <w:caps w:val="0"/>
        <w:color w:val="auto"/>
        <w:u w:val="none"/>
      </w:rPr>
    </w:lvl>
    <w:lvl w:ilvl="6" w:tentative="0">
      <w:start w:val="27"/>
      <w:numFmt w:val="lowerLetter"/>
      <w:pStyle w:val="63"/>
      <w:lvlText w:val="(%7)"/>
      <w:lvlJc w:val="left"/>
      <w:pPr>
        <w:tabs>
          <w:tab w:val="left" w:pos="3600"/>
        </w:tabs>
        <w:ind w:left="3600" w:hanging="720"/>
      </w:pPr>
      <w:rPr>
        <w:rFonts w:ascii="Times New Roman" w:hAnsi="Times New Roman"/>
        <w:b w:val="0"/>
        <w:i w:val="0"/>
        <w:caps w:val="0"/>
        <w:color w:val="auto"/>
        <w:u w:val="none"/>
      </w:rPr>
    </w:lvl>
    <w:lvl w:ilvl="7" w:tentative="0">
      <w:start w:val="1"/>
      <w:numFmt w:val="decimal"/>
      <w:pStyle w:val="64"/>
      <w:lvlText w:val="(%8)"/>
      <w:lvlJc w:val="left"/>
      <w:pPr>
        <w:tabs>
          <w:tab w:val="left" w:pos="4320"/>
        </w:tabs>
        <w:ind w:left="4320" w:hanging="720"/>
      </w:pPr>
      <w:rPr>
        <w:rFonts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ascii="Times New Roman" w:hAnsi="Times New Roman"/>
        <w:b w:val="0"/>
        <w:i w:val="0"/>
        <w:caps w:val="0"/>
        <w:color w:val="auto"/>
        <w:u w:val="none"/>
      </w:rPr>
    </w:lvl>
  </w:abstractNum>
  <w:abstractNum w:abstractNumId="31">
    <w:nsid w:val="6F3926DC"/>
    <w:multiLevelType w:val="multilevel"/>
    <w:tmpl w:val="6F3926DC"/>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32">
    <w:nsid w:val="7020388D"/>
    <w:multiLevelType w:val="multilevel"/>
    <w:tmpl w:val="7020388D"/>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33">
    <w:nsid w:val="70681DE6"/>
    <w:multiLevelType w:val="multilevel"/>
    <w:tmpl w:val="70681DE6"/>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34">
    <w:nsid w:val="73D6577F"/>
    <w:multiLevelType w:val="multilevel"/>
    <w:tmpl w:val="73D6577F"/>
    <w:lvl w:ilvl="0" w:tentative="0">
      <w:start w:val="1"/>
      <w:numFmt w:val="lowerLetter"/>
      <w:lvlText w:val="(%1)"/>
      <w:lvlJc w:val="left"/>
      <w:pPr>
        <w:tabs>
          <w:tab w:val="left" w:pos="2405"/>
        </w:tabs>
        <w:ind w:left="2405" w:hanging="420"/>
      </w:pPr>
      <w:rPr>
        <w:rFonts w:hint="eastAsia"/>
        <w:b w:val="0"/>
      </w:rPr>
    </w:lvl>
    <w:lvl w:ilvl="1" w:tentative="0">
      <w:start w:val="1"/>
      <w:numFmt w:val="lowerLetter"/>
      <w:lvlText w:val="%2)"/>
      <w:lvlJc w:val="left"/>
      <w:pPr>
        <w:tabs>
          <w:tab w:val="left" w:pos="1549"/>
        </w:tabs>
        <w:ind w:left="1549" w:hanging="420"/>
      </w:pPr>
    </w:lvl>
    <w:lvl w:ilvl="2" w:tentative="0">
      <w:start w:val="1"/>
      <w:numFmt w:val="lowerRoman"/>
      <w:lvlText w:val="%3."/>
      <w:lvlJc w:val="right"/>
      <w:pPr>
        <w:tabs>
          <w:tab w:val="left" w:pos="1969"/>
        </w:tabs>
        <w:ind w:left="1969" w:hanging="420"/>
      </w:pPr>
    </w:lvl>
    <w:lvl w:ilvl="3" w:tentative="0">
      <w:start w:val="1"/>
      <w:numFmt w:val="decimal"/>
      <w:lvlText w:val="%4."/>
      <w:lvlJc w:val="left"/>
      <w:pPr>
        <w:tabs>
          <w:tab w:val="left" w:pos="2389"/>
        </w:tabs>
        <w:ind w:left="2389" w:hanging="420"/>
      </w:pPr>
    </w:lvl>
    <w:lvl w:ilvl="4" w:tentative="0">
      <w:start w:val="1"/>
      <w:numFmt w:val="lowerLetter"/>
      <w:lvlText w:val="%5)"/>
      <w:lvlJc w:val="left"/>
      <w:pPr>
        <w:tabs>
          <w:tab w:val="left" w:pos="2809"/>
        </w:tabs>
        <w:ind w:left="2809" w:hanging="420"/>
      </w:pPr>
    </w:lvl>
    <w:lvl w:ilvl="5" w:tentative="0">
      <w:start w:val="1"/>
      <w:numFmt w:val="lowerRoman"/>
      <w:lvlText w:val="%6."/>
      <w:lvlJc w:val="right"/>
      <w:pPr>
        <w:tabs>
          <w:tab w:val="left" w:pos="3229"/>
        </w:tabs>
        <w:ind w:left="3229" w:hanging="420"/>
      </w:pPr>
    </w:lvl>
    <w:lvl w:ilvl="6" w:tentative="0">
      <w:start w:val="1"/>
      <w:numFmt w:val="decimal"/>
      <w:lvlText w:val="%7."/>
      <w:lvlJc w:val="left"/>
      <w:pPr>
        <w:tabs>
          <w:tab w:val="left" w:pos="3649"/>
        </w:tabs>
        <w:ind w:left="3649" w:hanging="420"/>
      </w:pPr>
    </w:lvl>
    <w:lvl w:ilvl="7" w:tentative="0">
      <w:start w:val="1"/>
      <w:numFmt w:val="lowerLetter"/>
      <w:lvlText w:val="%8)"/>
      <w:lvlJc w:val="left"/>
      <w:pPr>
        <w:tabs>
          <w:tab w:val="left" w:pos="4069"/>
        </w:tabs>
        <w:ind w:left="4069" w:hanging="420"/>
      </w:pPr>
    </w:lvl>
    <w:lvl w:ilvl="8" w:tentative="0">
      <w:start w:val="1"/>
      <w:numFmt w:val="lowerRoman"/>
      <w:lvlText w:val="%9."/>
      <w:lvlJc w:val="right"/>
      <w:pPr>
        <w:tabs>
          <w:tab w:val="left" w:pos="4489"/>
        </w:tabs>
        <w:ind w:left="4489" w:hanging="420"/>
      </w:pPr>
    </w:lvl>
  </w:abstractNum>
  <w:abstractNum w:abstractNumId="35">
    <w:nsid w:val="767A0A0B"/>
    <w:multiLevelType w:val="multilevel"/>
    <w:tmpl w:val="767A0A0B"/>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abstractNum w:abstractNumId="36">
    <w:nsid w:val="78A0713F"/>
    <w:multiLevelType w:val="multilevel"/>
    <w:tmpl w:val="78A0713F"/>
    <w:lvl w:ilvl="0" w:tentative="0">
      <w:start w:val="1"/>
      <w:numFmt w:val="chineseCountingThousand"/>
      <w:lvlText w:val="附件%1"/>
      <w:lvlJc w:val="left"/>
      <w:pPr>
        <w:tabs>
          <w:tab w:val="left" w:pos="420"/>
        </w:tabs>
        <w:ind w:left="420" w:hanging="420"/>
      </w:pPr>
      <w:rPr>
        <w:rFonts w:hint="eastAsia"/>
      </w:rPr>
    </w:lvl>
    <w:lvl w:ilvl="1" w:tentative="0">
      <w:start w:val="1"/>
      <w:numFmt w:val="lowerRoman"/>
      <w:lvlText w:val="(%2)"/>
      <w:lvlJc w:val="left"/>
      <w:pPr>
        <w:tabs>
          <w:tab w:val="left" w:pos="360"/>
        </w:tabs>
        <w:ind w:left="360" w:hanging="420"/>
      </w:pPr>
      <w:rPr>
        <w:rFonts w:hint="eastAsia"/>
        <w:b w:val="0"/>
      </w:r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37">
    <w:nsid w:val="7B6F15B0"/>
    <w:multiLevelType w:val="multilevel"/>
    <w:tmpl w:val="7B6F15B0"/>
    <w:lvl w:ilvl="0" w:tentative="0">
      <w:start w:val="1"/>
      <w:numFmt w:val="decimal"/>
      <w:pStyle w:val="70"/>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71"/>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72"/>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73"/>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74"/>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75"/>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76"/>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77"/>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78"/>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38">
    <w:nsid w:val="7BB476A2"/>
    <w:multiLevelType w:val="multilevel"/>
    <w:tmpl w:val="7BB476A2"/>
    <w:lvl w:ilvl="0" w:tentative="0">
      <w:start w:val="1"/>
      <w:numFmt w:val="decimal"/>
      <w:lvlText w:val="(%1)"/>
      <w:lvlJc w:val="left"/>
      <w:pPr>
        <w:ind w:left="2040" w:hanging="420"/>
      </w:pPr>
      <w:rPr>
        <w:rFonts w:hint="eastAsia"/>
      </w:rPr>
    </w:lvl>
    <w:lvl w:ilvl="1" w:tentative="0">
      <w:start w:val="1"/>
      <w:numFmt w:val="lowerLetter"/>
      <w:lvlText w:val="%2)"/>
      <w:lvlJc w:val="left"/>
      <w:pPr>
        <w:ind w:left="2460" w:hanging="420"/>
      </w:pPr>
      <w:rPr>
        <w:rFonts w:cs="Times New Roman"/>
      </w:rPr>
    </w:lvl>
    <w:lvl w:ilvl="2" w:tentative="0">
      <w:start w:val="1"/>
      <w:numFmt w:val="lowerRoman"/>
      <w:lvlText w:val="%3."/>
      <w:lvlJc w:val="right"/>
      <w:pPr>
        <w:ind w:left="2880" w:hanging="420"/>
      </w:pPr>
      <w:rPr>
        <w:rFonts w:cs="Times New Roman"/>
      </w:rPr>
    </w:lvl>
    <w:lvl w:ilvl="3" w:tentative="0">
      <w:start w:val="1"/>
      <w:numFmt w:val="decimal"/>
      <w:lvlText w:val="%4."/>
      <w:lvlJc w:val="left"/>
      <w:pPr>
        <w:ind w:left="3300" w:hanging="420"/>
      </w:pPr>
      <w:rPr>
        <w:rFonts w:cs="Times New Roman"/>
      </w:rPr>
    </w:lvl>
    <w:lvl w:ilvl="4" w:tentative="0">
      <w:start w:val="1"/>
      <w:numFmt w:val="lowerLetter"/>
      <w:lvlText w:val="%5)"/>
      <w:lvlJc w:val="left"/>
      <w:pPr>
        <w:ind w:left="3720" w:hanging="420"/>
      </w:pPr>
      <w:rPr>
        <w:rFonts w:cs="Times New Roman"/>
      </w:rPr>
    </w:lvl>
    <w:lvl w:ilvl="5" w:tentative="0">
      <w:start w:val="1"/>
      <w:numFmt w:val="lowerRoman"/>
      <w:lvlText w:val="%6."/>
      <w:lvlJc w:val="right"/>
      <w:pPr>
        <w:ind w:left="4140" w:hanging="420"/>
      </w:pPr>
      <w:rPr>
        <w:rFonts w:cs="Times New Roman"/>
      </w:rPr>
    </w:lvl>
    <w:lvl w:ilvl="6" w:tentative="0">
      <w:start w:val="1"/>
      <w:numFmt w:val="decimal"/>
      <w:lvlText w:val="%7."/>
      <w:lvlJc w:val="left"/>
      <w:pPr>
        <w:ind w:left="4560" w:hanging="420"/>
      </w:pPr>
      <w:rPr>
        <w:rFonts w:cs="Times New Roman"/>
      </w:rPr>
    </w:lvl>
    <w:lvl w:ilvl="7" w:tentative="0">
      <w:start w:val="1"/>
      <w:numFmt w:val="lowerLetter"/>
      <w:lvlText w:val="%8)"/>
      <w:lvlJc w:val="left"/>
      <w:pPr>
        <w:ind w:left="4980" w:hanging="420"/>
      </w:pPr>
      <w:rPr>
        <w:rFonts w:cs="Times New Roman"/>
      </w:rPr>
    </w:lvl>
    <w:lvl w:ilvl="8" w:tentative="0">
      <w:start w:val="1"/>
      <w:numFmt w:val="lowerRoman"/>
      <w:lvlText w:val="%9."/>
      <w:lvlJc w:val="right"/>
      <w:pPr>
        <w:ind w:left="5400" w:hanging="420"/>
      </w:pPr>
      <w:rPr>
        <w:rFonts w:cs="Times New Roman"/>
      </w:rPr>
    </w:lvl>
  </w:abstractNum>
  <w:num w:numId="1">
    <w:abstractNumId w:val="30"/>
  </w:num>
  <w:num w:numId="2">
    <w:abstractNumId w:val="37"/>
  </w:num>
  <w:num w:numId="3">
    <w:abstractNumId w:val="13"/>
  </w:num>
  <w:num w:numId="4">
    <w:abstractNumId w:val="0"/>
  </w:num>
  <w:num w:numId="5">
    <w:abstractNumId w:val="18"/>
  </w:num>
  <w:num w:numId="6">
    <w:abstractNumId w:val="31"/>
  </w:num>
  <w:num w:numId="7">
    <w:abstractNumId w:val="5"/>
  </w:num>
  <w:num w:numId="8">
    <w:abstractNumId w:val="27"/>
  </w:num>
  <w:num w:numId="9">
    <w:abstractNumId w:val="28"/>
  </w:num>
  <w:num w:numId="10">
    <w:abstractNumId w:val="33"/>
  </w:num>
  <w:num w:numId="11">
    <w:abstractNumId w:val="38"/>
  </w:num>
  <w:num w:numId="12">
    <w:abstractNumId w:val="4"/>
  </w:num>
  <w:num w:numId="13">
    <w:abstractNumId w:val="34"/>
  </w:num>
  <w:num w:numId="14">
    <w:abstractNumId w:val="12"/>
  </w:num>
  <w:num w:numId="15">
    <w:abstractNumId w:val="35"/>
  </w:num>
  <w:num w:numId="16">
    <w:abstractNumId w:val="7"/>
  </w:num>
  <w:num w:numId="17">
    <w:abstractNumId w:val="10"/>
  </w:num>
  <w:num w:numId="18">
    <w:abstractNumId w:val="14"/>
  </w:num>
  <w:num w:numId="19">
    <w:abstractNumId w:val="17"/>
  </w:num>
  <w:num w:numId="20">
    <w:abstractNumId w:val="3"/>
  </w:num>
  <w:num w:numId="21">
    <w:abstractNumId w:val="9"/>
  </w:num>
  <w:num w:numId="22">
    <w:abstractNumId w:val="20"/>
  </w:num>
  <w:num w:numId="23">
    <w:abstractNumId w:val="15"/>
  </w:num>
  <w:num w:numId="24">
    <w:abstractNumId w:val="26"/>
  </w:num>
  <w:num w:numId="25">
    <w:abstractNumId w:val="2"/>
  </w:num>
  <w:num w:numId="26">
    <w:abstractNumId w:val="16"/>
  </w:num>
  <w:num w:numId="27">
    <w:abstractNumId w:val="19"/>
  </w:num>
  <w:num w:numId="28">
    <w:abstractNumId w:val="29"/>
  </w:num>
  <w:num w:numId="29">
    <w:abstractNumId w:val="25"/>
  </w:num>
  <w:num w:numId="30">
    <w:abstractNumId w:val="23"/>
  </w:num>
  <w:num w:numId="31">
    <w:abstractNumId w:val="21"/>
  </w:num>
  <w:num w:numId="32">
    <w:abstractNumId w:val="8"/>
  </w:num>
  <w:num w:numId="33">
    <w:abstractNumId w:val="1"/>
  </w:num>
  <w:num w:numId="34">
    <w:abstractNumId w:val="11"/>
  </w:num>
  <w:num w:numId="35">
    <w:abstractNumId w:val="36"/>
  </w:num>
  <w:num w:numId="36">
    <w:abstractNumId w:val="6"/>
  </w:num>
  <w:num w:numId="37">
    <w:abstractNumId w:val="22"/>
  </w:num>
  <w:num w:numId="38">
    <w:abstractNumId w:val="3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trackRevisions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AE1E8D"/>
    <w:rsid w:val="00005ABF"/>
    <w:rsid w:val="00005E31"/>
    <w:rsid w:val="00020057"/>
    <w:rsid w:val="00021358"/>
    <w:rsid w:val="00034E1B"/>
    <w:rsid w:val="00037CFA"/>
    <w:rsid w:val="000476B8"/>
    <w:rsid w:val="00060D55"/>
    <w:rsid w:val="00063BDC"/>
    <w:rsid w:val="000726A5"/>
    <w:rsid w:val="000733D6"/>
    <w:rsid w:val="00084A88"/>
    <w:rsid w:val="000970E7"/>
    <w:rsid w:val="0009774C"/>
    <w:rsid w:val="000A1160"/>
    <w:rsid w:val="000A6AAE"/>
    <w:rsid w:val="000A6CAB"/>
    <w:rsid w:val="000C0679"/>
    <w:rsid w:val="000C424A"/>
    <w:rsid w:val="000F0A80"/>
    <w:rsid w:val="000F3E69"/>
    <w:rsid w:val="000F4011"/>
    <w:rsid w:val="00100D77"/>
    <w:rsid w:val="001021E2"/>
    <w:rsid w:val="00111A9A"/>
    <w:rsid w:val="00124A2B"/>
    <w:rsid w:val="00151E8A"/>
    <w:rsid w:val="001544E9"/>
    <w:rsid w:val="001571EF"/>
    <w:rsid w:val="00196854"/>
    <w:rsid w:val="001E3F44"/>
    <w:rsid w:val="001F5272"/>
    <w:rsid w:val="00204AF8"/>
    <w:rsid w:val="00206FCD"/>
    <w:rsid w:val="00214A49"/>
    <w:rsid w:val="00216083"/>
    <w:rsid w:val="0022590E"/>
    <w:rsid w:val="002273AF"/>
    <w:rsid w:val="00232467"/>
    <w:rsid w:val="00250774"/>
    <w:rsid w:val="002706EC"/>
    <w:rsid w:val="00276DD2"/>
    <w:rsid w:val="002839DF"/>
    <w:rsid w:val="0028696A"/>
    <w:rsid w:val="00292B38"/>
    <w:rsid w:val="0029785F"/>
    <w:rsid w:val="00297A80"/>
    <w:rsid w:val="002A2A68"/>
    <w:rsid w:val="002A4FF3"/>
    <w:rsid w:val="002C5523"/>
    <w:rsid w:val="002D70A7"/>
    <w:rsid w:val="002E4BB5"/>
    <w:rsid w:val="002E7186"/>
    <w:rsid w:val="002F14AF"/>
    <w:rsid w:val="002F611B"/>
    <w:rsid w:val="0030712B"/>
    <w:rsid w:val="00307D0B"/>
    <w:rsid w:val="0032090F"/>
    <w:rsid w:val="00350422"/>
    <w:rsid w:val="003602E0"/>
    <w:rsid w:val="00360994"/>
    <w:rsid w:val="003647DB"/>
    <w:rsid w:val="00383048"/>
    <w:rsid w:val="00390437"/>
    <w:rsid w:val="003A342E"/>
    <w:rsid w:val="003B5121"/>
    <w:rsid w:val="003C4D67"/>
    <w:rsid w:val="003D50CC"/>
    <w:rsid w:val="003D56C4"/>
    <w:rsid w:val="003F08A4"/>
    <w:rsid w:val="003F43CE"/>
    <w:rsid w:val="004100C1"/>
    <w:rsid w:val="00410DF3"/>
    <w:rsid w:val="004117BB"/>
    <w:rsid w:val="004249A3"/>
    <w:rsid w:val="00426248"/>
    <w:rsid w:val="00432154"/>
    <w:rsid w:val="00435268"/>
    <w:rsid w:val="00441F84"/>
    <w:rsid w:val="0044294A"/>
    <w:rsid w:val="00454E80"/>
    <w:rsid w:val="00455ED4"/>
    <w:rsid w:val="004602AF"/>
    <w:rsid w:val="00464ECF"/>
    <w:rsid w:val="00470BE5"/>
    <w:rsid w:val="00475E60"/>
    <w:rsid w:val="00477F42"/>
    <w:rsid w:val="004823D3"/>
    <w:rsid w:val="004827CC"/>
    <w:rsid w:val="004927AB"/>
    <w:rsid w:val="00493EDC"/>
    <w:rsid w:val="004A47FE"/>
    <w:rsid w:val="004A5718"/>
    <w:rsid w:val="004B3850"/>
    <w:rsid w:val="004D470D"/>
    <w:rsid w:val="004D57E1"/>
    <w:rsid w:val="004E17F2"/>
    <w:rsid w:val="004E2DEA"/>
    <w:rsid w:val="004F7BE4"/>
    <w:rsid w:val="00514500"/>
    <w:rsid w:val="0052243E"/>
    <w:rsid w:val="00525B37"/>
    <w:rsid w:val="00526A1A"/>
    <w:rsid w:val="00532BE3"/>
    <w:rsid w:val="00540DD3"/>
    <w:rsid w:val="0054406D"/>
    <w:rsid w:val="0054455C"/>
    <w:rsid w:val="00546B13"/>
    <w:rsid w:val="00552143"/>
    <w:rsid w:val="00553534"/>
    <w:rsid w:val="00574B48"/>
    <w:rsid w:val="00576E11"/>
    <w:rsid w:val="00581018"/>
    <w:rsid w:val="005978F5"/>
    <w:rsid w:val="005A1F56"/>
    <w:rsid w:val="005A61D1"/>
    <w:rsid w:val="005B5F20"/>
    <w:rsid w:val="005B7610"/>
    <w:rsid w:val="005D3F88"/>
    <w:rsid w:val="005D5770"/>
    <w:rsid w:val="005E1393"/>
    <w:rsid w:val="005E2220"/>
    <w:rsid w:val="005E6C6B"/>
    <w:rsid w:val="005F11BF"/>
    <w:rsid w:val="005F7A14"/>
    <w:rsid w:val="00611948"/>
    <w:rsid w:val="00615288"/>
    <w:rsid w:val="006326D3"/>
    <w:rsid w:val="006336A7"/>
    <w:rsid w:val="00645243"/>
    <w:rsid w:val="00664AC4"/>
    <w:rsid w:val="00666309"/>
    <w:rsid w:val="00667E4A"/>
    <w:rsid w:val="00685B9C"/>
    <w:rsid w:val="0069206B"/>
    <w:rsid w:val="006925C9"/>
    <w:rsid w:val="006C5153"/>
    <w:rsid w:val="006C53C5"/>
    <w:rsid w:val="006C5D57"/>
    <w:rsid w:val="006E5F28"/>
    <w:rsid w:val="006E6AB2"/>
    <w:rsid w:val="006F4B71"/>
    <w:rsid w:val="006F5FE4"/>
    <w:rsid w:val="00702F1C"/>
    <w:rsid w:val="0070347E"/>
    <w:rsid w:val="007067A5"/>
    <w:rsid w:val="0071682D"/>
    <w:rsid w:val="0073742F"/>
    <w:rsid w:val="0074411C"/>
    <w:rsid w:val="00767CD0"/>
    <w:rsid w:val="00771195"/>
    <w:rsid w:val="007833A4"/>
    <w:rsid w:val="00787666"/>
    <w:rsid w:val="007954D0"/>
    <w:rsid w:val="007B38C7"/>
    <w:rsid w:val="007C483A"/>
    <w:rsid w:val="007C6E85"/>
    <w:rsid w:val="007D5C74"/>
    <w:rsid w:val="007D60D5"/>
    <w:rsid w:val="007D7B40"/>
    <w:rsid w:val="007E2DEE"/>
    <w:rsid w:val="007E355D"/>
    <w:rsid w:val="007E76DC"/>
    <w:rsid w:val="007F0258"/>
    <w:rsid w:val="007F4BC5"/>
    <w:rsid w:val="007F7B60"/>
    <w:rsid w:val="00817D7E"/>
    <w:rsid w:val="008319BB"/>
    <w:rsid w:val="00832819"/>
    <w:rsid w:val="00835159"/>
    <w:rsid w:val="00843CBF"/>
    <w:rsid w:val="008458DB"/>
    <w:rsid w:val="00847068"/>
    <w:rsid w:val="00852CCC"/>
    <w:rsid w:val="008556D3"/>
    <w:rsid w:val="00873364"/>
    <w:rsid w:val="00882AA1"/>
    <w:rsid w:val="0088764D"/>
    <w:rsid w:val="008904A2"/>
    <w:rsid w:val="00891C59"/>
    <w:rsid w:val="00896EC0"/>
    <w:rsid w:val="008A0294"/>
    <w:rsid w:val="008C11C4"/>
    <w:rsid w:val="008D17DC"/>
    <w:rsid w:val="009057A7"/>
    <w:rsid w:val="00906FFB"/>
    <w:rsid w:val="00917519"/>
    <w:rsid w:val="009203E5"/>
    <w:rsid w:val="00920A23"/>
    <w:rsid w:val="00926A63"/>
    <w:rsid w:val="009333B9"/>
    <w:rsid w:val="009353F3"/>
    <w:rsid w:val="00940CE8"/>
    <w:rsid w:val="00957EED"/>
    <w:rsid w:val="00961C53"/>
    <w:rsid w:val="00963EF0"/>
    <w:rsid w:val="0096772B"/>
    <w:rsid w:val="00970663"/>
    <w:rsid w:val="00971E47"/>
    <w:rsid w:val="009809D6"/>
    <w:rsid w:val="00981413"/>
    <w:rsid w:val="009840CE"/>
    <w:rsid w:val="00984BFB"/>
    <w:rsid w:val="00987750"/>
    <w:rsid w:val="009C0141"/>
    <w:rsid w:val="009C5392"/>
    <w:rsid w:val="009C5A9C"/>
    <w:rsid w:val="009E4166"/>
    <w:rsid w:val="00A50321"/>
    <w:rsid w:val="00A556F4"/>
    <w:rsid w:val="00A762C0"/>
    <w:rsid w:val="00A7637E"/>
    <w:rsid w:val="00A80BA7"/>
    <w:rsid w:val="00A900DA"/>
    <w:rsid w:val="00A95CE7"/>
    <w:rsid w:val="00A96B2A"/>
    <w:rsid w:val="00A97766"/>
    <w:rsid w:val="00AA1480"/>
    <w:rsid w:val="00AA22CA"/>
    <w:rsid w:val="00AB597E"/>
    <w:rsid w:val="00AB791A"/>
    <w:rsid w:val="00AC56B1"/>
    <w:rsid w:val="00AD47BC"/>
    <w:rsid w:val="00AE396C"/>
    <w:rsid w:val="00AF3B78"/>
    <w:rsid w:val="00B00333"/>
    <w:rsid w:val="00B00D9E"/>
    <w:rsid w:val="00B013D9"/>
    <w:rsid w:val="00B14A0C"/>
    <w:rsid w:val="00B20225"/>
    <w:rsid w:val="00B52457"/>
    <w:rsid w:val="00B53422"/>
    <w:rsid w:val="00B53963"/>
    <w:rsid w:val="00B633F2"/>
    <w:rsid w:val="00B66EC9"/>
    <w:rsid w:val="00B704F9"/>
    <w:rsid w:val="00B739EE"/>
    <w:rsid w:val="00B74444"/>
    <w:rsid w:val="00B75A95"/>
    <w:rsid w:val="00BA149F"/>
    <w:rsid w:val="00BA3620"/>
    <w:rsid w:val="00BA5222"/>
    <w:rsid w:val="00BB376A"/>
    <w:rsid w:val="00BB3984"/>
    <w:rsid w:val="00BC41C5"/>
    <w:rsid w:val="00BC6B5D"/>
    <w:rsid w:val="00BD0573"/>
    <w:rsid w:val="00BD3E1F"/>
    <w:rsid w:val="00BD5A97"/>
    <w:rsid w:val="00BE2ACD"/>
    <w:rsid w:val="00C003FD"/>
    <w:rsid w:val="00C127DB"/>
    <w:rsid w:val="00C15E16"/>
    <w:rsid w:val="00C1613B"/>
    <w:rsid w:val="00C2120A"/>
    <w:rsid w:val="00C2491D"/>
    <w:rsid w:val="00C2584D"/>
    <w:rsid w:val="00C53630"/>
    <w:rsid w:val="00C632AE"/>
    <w:rsid w:val="00C6666C"/>
    <w:rsid w:val="00C7544D"/>
    <w:rsid w:val="00C917CD"/>
    <w:rsid w:val="00C9315D"/>
    <w:rsid w:val="00C97538"/>
    <w:rsid w:val="00CC6186"/>
    <w:rsid w:val="00CD7C21"/>
    <w:rsid w:val="00CE105C"/>
    <w:rsid w:val="00D15B28"/>
    <w:rsid w:val="00D33204"/>
    <w:rsid w:val="00D335E5"/>
    <w:rsid w:val="00D43D51"/>
    <w:rsid w:val="00D5375C"/>
    <w:rsid w:val="00D56313"/>
    <w:rsid w:val="00D60899"/>
    <w:rsid w:val="00D60E92"/>
    <w:rsid w:val="00D647EC"/>
    <w:rsid w:val="00D72AF4"/>
    <w:rsid w:val="00DA3E98"/>
    <w:rsid w:val="00DA43D2"/>
    <w:rsid w:val="00DB0252"/>
    <w:rsid w:val="00DB6676"/>
    <w:rsid w:val="00DC7159"/>
    <w:rsid w:val="00DD2C75"/>
    <w:rsid w:val="00DD6EFF"/>
    <w:rsid w:val="00DE319E"/>
    <w:rsid w:val="00DF3FFB"/>
    <w:rsid w:val="00E0268C"/>
    <w:rsid w:val="00E0694B"/>
    <w:rsid w:val="00E141B1"/>
    <w:rsid w:val="00E149F1"/>
    <w:rsid w:val="00E150DE"/>
    <w:rsid w:val="00E23955"/>
    <w:rsid w:val="00E27DE4"/>
    <w:rsid w:val="00E405ED"/>
    <w:rsid w:val="00E42009"/>
    <w:rsid w:val="00E4328C"/>
    <w:rsid w:val="00E52366"/>
    <w:rsid w:val="00E55365"/>
    <w:rsid w:val="00E73520"/>
    <w:rsid w:val="00E80FEA"/>
    <w:rsid w:val="00E83452"/>
    <w:rsid w:val="00E8564F"/>
    <w:rsid w:val="00E902EF"/>
    <w:rsid w:val="00E9782C"/>
    <w:rsid w:val="00EA6183"/>
    <w:rsid w:val="00EC79EB"/>
    <w:rsid w:val="00ED3A69"/>
    <w:rsid w:val="00ED7538"/>
    <w:rsid w:val="00EE6AF6"/>
    <w:rsid w:val="00EF1D62"/>
    <w:rsid w:val="00F007CC"/>
    <w:rsid w:val="00F21700"/>
    <w:rsid w:val="00F239BC"/>
    <w:rsid w:val="00F41BDF"/>
    <w:rsid w:val="00F42A3A"/>
    <w:rsid w:val="00F672F3"/>
    <w:rsid w:val="00F77BA1"/>
    <w:rsid w:val="00F86C80"/>
    <w:rsid w:val="00F86D2C"/>
    <w:rsid w:val="00F94F13"/>
    <w:rsid w:val="00FC6BBF"/>
    <w:rsid w:val="00FD6521"/>
    <w:rsid w:val="00FE695E"/>
    <w:rsid w:val="00FF16DB"/>
    <w:rsid w:val="00FF209F"/>
    <w:rsid w:val="07AE1E8D"/>
    <w:rsid w:val="10E13B38"/>
    <w:rsid w:val="185E5ED0"/>
    <w:rsid w:val="1DE1497B"/>
    <w:rsid w:val="30F63D28"/>
    <w:rsid w:val="317C682E"/>
    <w:rsid w:val="42A918D9"/>
    <w:rsid w:val="4A74330F"/>
    <w:rsid w:val="60D25C51"/>
    <w:rsid w:val="7F7F83E8"/>
    <w:rsid w:val="FABE836A"/>
    <w:rsid w:val="FF7E0959"/>
    <w:rsid w:val="FFBD2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ind w:left="1260"/>
      <w:jc w:val="left"/>
    </w:pPr>
    <w:rPr>
      <w:kern w:val="0"/>
      <w:sz w:val="18"/>
      <w:szCs w:val="18"/>
    </w:rPr>
  </w:style>
  <w:style w:type="paragraph" w:styleId="5">
    <w:name w:val="Document Map"/>
    <w:basedOn w:val="1"/>
    <w:link w:val="52"/>
    <w:qFormat/>
    <w:uiPriority w:val="0"/>
    <w:pPr>
      <w:shd w:val="clear" w:color="auto" w:fill="000080"/>
    </w:pPr>
    <w:rPr>
      <w:kern w:val="0"/>
      <w:sz w:val="20"/>
      <w:szCs w:val="20"/>
    </w:rPr>
  </w:style>
  <w:style w:type="paragraph" w:styleId="6">
    <w:name w:val="annotation text"/>
    <w:basedOn w:val="1"/>
    <w:link w:val="44"/>
    <w:qFormat/>
    <w:uiPriority w:val="0"/>
    <w:pPr>
      <w:jc w:val="left"/>
    </w:pPr>
  </w:style>
  <w:style w:type="paragraph" w:styleId="7">
    <w:name w:val="List Bullet 3"/>
    <w:basedOn w:val="1"/>
    <w:qFormat/>
    <w:uiPriority w:val="0"/>
    <w:pPr>
      <w:spacing w:line="360" w:lineRule="exact"/>
    </w:pPr>
    <w:rPr>
      <w:rFonts w:eastAsia="楷体_GB2312"/>
      <w:b/>
      <w:kern w:val="0"/>
      <w:sz w:val="24"/>
      <w:szCs w:val="20"/>
    </w:rPr>
  </w:style>
  <w:style w:type="paragraph" w:styleId="8">
    <w:name w:val="Body Text"/>
    <w:basedOn w:val="1"/>
    <w:link w:val="53"/>
    <w:qFormat/>
    <w:uiPriority w:val="0"/>
    <w:pPr>
      <w:spacing w:after="120"/>
    </w:pPr>
    <w:rPr>
      <w:kern w:val="0"/>
      <w:sz w:val="20"/>
      <w:szCs w:val="20"/>
    </w:rPr>
  </w:style>
  <w:style w:type="paragraph" w:styleId="9">
    <w:name w:val="Body Text Indent"/>
    <w:basedOn w:val="1"/>
    <w:qFormat/>
    <w:uiPriority w:val="0"/>
    <w:pPr>
      <w:spacing w:after="120"/>
      <w:ind w:left="420" w:leftChars="200"/>
    </w:pPr>
  </w:style>
  <w:style w:type="paragraph" w:styleId="10">
    <w:name w:val="toc 5"/>
    <w:basedOn w:val="1"/>
    <w:next w:val="1"/>
    <w:qFormat/>
    <w:uiPriority w:val="0"/>
    <w:pPr>
      <w:ind w:left="840"/>
      <w:jc w:val="left"/>
    </w:pPr>
    <w:rPr>
      <w:kern w:val="0"/>
      <w:sz w:val="18"/>
      <w:szCs w:val="18"/>
    </w:rPr>
  </w:style>
  <w:style w:type="paragraph" w:styleId="11">
    <w:name w:val="toc 3"/>
    <w:basedOn w:val="1"/>
    <w:next w:val="1"/>
    <w:qFormat/>
    <w:uiPriority w:val="0"/>
    <w:pPr>
      <w:tabs>
        <w:tab w:val="right" w:leader="dot" w:pos="9241"/>
      </w:tabs>
      <w:ind w:firstLine="102" w:firstLineChars="100"/>
      <w:jc w:val="left"/>
    </w:pPr>
    <w:rPr>
      <w:rFonts w:ascii="宋体"/>
      <w:szCs w:val="21"/>
    </w:rPr>
  </w:style>
  <w:style w:type="paragraph" w:styleId="12">
    <w:name w:val="toc 8"/>
    <w:basedOn w:val="1"/>
    <w:next w:val="1"/>
    <w:qFormat/>
    <w:uiPriority w:val="0"/>
    <w:pPr>
      <w:ind w:left="1470"/>
      <w:jc w:val="left"/>
    </w:pPr>
    <w:rPr>
      <w:kern w:val="0"/>
      <w:sz w:val="18"/>
      <w:szCs w:val="18"/>
    </w:rPr>
  </w:style>
  <w:style w:type="paragraph" w:styleId="13">
    <w:name w:val="Body Text Indent 2"/>
    <w:basedOn w:val="1"/>
    <w:link w:val="54"/>
    <w:qFormat/>
    <w:uiPriority w:val="0"/>
    <w:pPr>
      <w:tabs>
        <w:tab w:val="left" w:pos="2340"/>
      </w:tabs>
      <w:spacing w:line="400" w:lineRule="atLeast"/>
      <w:ind w:left="2340" w:leftChars="1114" w:hanging="1"/>
    </w:pPr>
    <w:rPr>
      <w:rFonts w:eastAsia="楷体_GB2312"/>
      <w:kern w:val="0"/>
      <w:sz w:val="24"/>
      <w:szCs w:val="20"/>
    </w:rPr>
  </w:style>
  <w:style w:type="paragraph" w:styleId="14">
    <w:name w:val="Balloon Text"/>
    <w:basedOn w:val="1"/>
    <w:link w:val="48"/>
    <w:qFormat/>
    <w:uiPriority w:val="0"/>
    <w:rPr>
      <w:sz w:val="18"/>
      <w:szCs w:val="18"/>
    </w:rPr>
  </w:style>
  <w:style w:type="paragraph" w:styleId="15">
    <w:name w:val="footer"/>
    <w:basedOn w:val="1"/>
    <w:link w:val="43"/>
    <w:qFormat/>
    <w:uiPriority w:val="99"/>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qFormat/>
    <w:uiPriority w:val="39"/>
    <w:pPr>
      <w:tabs>
        <w:tab w:val="left" w:pos="284"/>
        <w:tab w:val="right" w:leader="dot" w:pos="8222"/>
      </w:tabs>
      <w:spacing w:afterLines="25"/>
      <w:ind w:right="1218" w:rightChars="580"/>
      <w:jc w:val="left"/>
    </w:pPr>
    <w:rPr>
      <w:rFonts w:ascii="宋体"/>
      <w:szCs w:val="21"/>
    </w:rPr>
  </w:style>
  <w:style w:type="paragraph" w:styleId="18">
    <w:name w:val="toc 4"/>
    <w:basedOn w:val="1"/>
    <w:next w:val="1"/>
    <w:qFormat/>
    <w:uiPriority w:val="0"/>
    <w:pPr>
      <w:ind w:left="630"/>
      <w:jc w:val="left"/>
    </w:pPr>
    <w:rPr>
      <w:kern w:val="0"/>
      <w:sz w:val="18"/>
      <w:szCs w:val="18"/>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1"/>
    <w:qFormat/>
    <w:uiPriority w:val="0"/>
    <w:pPr>
      <w:tabs>
        <w:tab w:val="right" w:leader="dot" w:pos="9299"/>
      </w:tabs>
      <w:jc w:val="left"/>
    </w:pPr>
    <w:rPr>
      <w:rFonts w:ascii="宋体"/>
      <w:szCs w:val="21"/>
    </w:rPr>
  </w:style>
  <w:style w:type="paragraph" w:styleId="21">
    <w:name w:val="footnote text"/>
    <w:basedOn w:val="1"/>
    <w:link w:val="50"/>
    <w:qFormat/>
    <w:uiPriority w:val="0"/>
    <w:pPr>
      <w:snapToGrid w:val="0"/>
      <w:jc w:val="left"/>
    </w:pPr>
    <w:rPr>
      <w:rFonts w:ascii="Calibri" w:hAnsi="Calibri"/>
      <w:sz w:val="18"/>
      <w:szCs w:val="18"/>
    </w:rPr>
  </w:style>
  <w:style w:type="paragraph" w:styleId="22">
    <w:name w:val="toc 6"/>
    <w:basedOn w:val="1"/>
    <w:next w:val="1"/>
    <w:qFormat/>
    <w:uiPriority w:val="0"/>
    <w:pPr>
      <w:ind w:left="1050"/>
      <w:jc w:val="left"/>
    </w:pPr>
    <w:rPr>
      <w:kern w:val="0"/>
      <w:sz w:val="18"/>
      <w:szCs w:val="18"/>
    </w:rPr>
  </w:style>
  <w:style w:type="paragraph" w:styleId="23">
    <w:name w:val="Body Text Indent 3"/>
    <w:basedOn w:val="1"/>
    <w:link w:val="55"/>
    <w:qFormat/>
    <w:uiPriority w:val="0"/>
    <w:pPr>
      <w:spacing w:after="120"/>
      <w:ind w:left="420" w:leftChars="200"/>
    </w:pPr>
    <w:rPr>
      <w:kern w:val="0"/>
      <w:sz w:val="16"/>
      <w:szCs w:val="16"/>
    </w:rPr>
  </w:style>
  <w:style w:type="paragraph" w:styleId="24">
    <w:name w:val="toc 2"/>
    <w:basedOn w:val="1"/>
    <w:next w:val="1"/>
    <w:semiHidden/>
    <w:qFormat/>
    <w:uiPriority w:val="0"/>
    <w:pPr>
      <w:tabs>
        <w:tab w:val="right" w:leader="dot" w:pos="9241"/>
      </w:tabs>
    </w:pPr>
    <w:rPr>
      <w:rFonts w:ascii="宋体"/>
      <w:szCs w:val="21"/>
    </w:rPr>
  </w:style>
  <w:style w:type="paragraph" w:styleId="25">
    <w:name w:val="toc 9"/>
    <w:basedOn w:val="1"/>
    <w:next w:val="1"/>
    <w:qFormat/>
    <w:uiPriority w:val="0"/>
    <w:pPr>
      <w:ind w:left="1680"/>
      <w:jc w:val="left"/>
    </w:pPr>
    <w:rPr>
      <w:kern w:val="0"/>
      <w:sz w:val="18"/>
      <w:szCs w:val="18"/>
    </w:rPr>
  </w:style>
  <w:style w:type="paragraph" w:styleId="26">
    <w:name w:val="annotation subject"/>
    <w:basedOn w:val="6"/>
    <w:next w:val="6"/>
    <w:link w:val="45"/>
    <w:qFormat/>
    <w:uiPriority w:val="0"/>
    <w:rPr>
      <w:b/>
      <w:bCs/>
    </w:rPr>
  </w:style>
  <w:style w:type="table" w:styleId="28">
    <w:name w:val="Table Grid"/>
    <w:basedOn w:val="2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page number"/>
    <w:basedOn w:val="29"/>
    <w:qFormat/>
    <w:uiPriority w:val="0"/>
  </w:style>
  <w:style w:type="character" w:styleId="32">
    <w:name w:val="Hyperlink"/>
    <w:basedOn w:val="29"/>
    <w:qFormat/>
    <w:uiPriority w:val="99"/>
    <w:rPr>
      <w:color w:val="0000FF"/>
      <w:spacing w:val="0"/>
      <w:w w:val="100"/>
      <w:szCs w:val="21"/>
      <w:u w:val="single"/>
      <w:lang w:val="en-US" w:eastAsia="zh-CN"/>
    </w:rPr>
  </w:style>
  <w:style w:type="character" w:styleId="33">
    <w:name w:val="annotation reference"/>
    <w:basedOn w:val="29"/>
    <w:qFormat/>
    <w:uiPriority w:val="0"/>
    <w:rPr>
      <w:sz w:val="21"/>
      <w:szCs w:val="21"/>
    </w:rPr>
  </w:style>
  <w:style w:type="character" w:styleId="34">
    <w:name w:val="footnote reference"/>
    <w:qFormat/>
    <w:uiPriority w:val="0"/>
    <w:rPr>
      <w:vertAlign w:val="superscript"/>
    </w:rPr>
  </w:style>
  <w:style w:type="character" w:customStyle="1" w:styleId="35">
    <w:name w:val="标题 1 字符"/>
    <w:basedOn w:val="29"/>
    <w:link w:val="2"/>
    <w:qFormat/>
    <w:uiPriority w:val="0"/>
    <w:rPr>
      <w:rFonts w:ascii="Times New Roman" w:hAnsi="Times New Roman" w:eastAsia="宋体" w:cs="Times New Roman"/>
      <w:b/>
      <w:bCs/>
      <w:kern w:val="44"/>
      <w:sz w:val="44"/>
      <w:szCs w:val="44"/>
    </w:rPr>
  </w:style>
  <w:style w:type="paragraph" w:customStyle="1" w:styleId="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7">
    <w:name w:val="附录标识"/>
    <w:basedOn w:val="1"/>
    <w:next w:val="3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38">
    <w:name w:val="Index Heading 2"/>
    <w:basedOn w:val="19"/>
    <w:qFormat/>
    <w:uiPriority w:val="0"/>
    <w:pPr>
      <w:widowControl/>
      <w:tabs>
        <w:tab w:val="right" w:pos="8280"/>
      </w:tabs>
      <w:spacing w:before="0" w:after="480"/>
      <w:jc w:val="left"/>
    </w:pPr>
    <w:rPr>
      <w:rFonts w:ascii="Times New Roman" w:hAnsi="Times New Roman"/>
      <w:bCs w:val="0"/>
      <w:iCs w:val="0"/>
      <w:caps/>
      <w:kern w:val="0"/>
      <w:sz w:val="24"/>
      <w:szCs w:val="24"/>
      <w:lang w:val="en-GB" w:eastAsia="en-US"/>
    </w:rPr>
  </w:style>
  <w:style w:type="paragraph" w:customStyle="1" w:styleId="39">
    <w:name w:val="1"/>
    <w:basedOn w:val="1"/>
    <w:next w:val="9"/>
    <w:qFormat/>
    <w:uiPriority w:val="0"/>
    <w:pPr>
      <w:spacing w:line="360" w:lineRule="auto"/>
      <w:ind w:firstLine="376"/>
    </w:pPr>
    <w:rPr>
      <w:sz w:val="24"/>
    </w:rPr>
  </w:style>
  <w:style w:type="paragraph" w:customStyle="1" w:styleId="40">
    <w:name w:val="FWB Cont 3"/>
    <w:basedOn w:val="1"/>
    <w:qFormat/>
    <w:uiPriority w:val="0"/>
    <w:pPr>
      <w:widowControl/>
      <w:spacing w:after="240"/>
      <w:ind w:left="720"/>
    </w:pPr>
    <w:rPr>
      <w:kern w:val="0"/>
      <w:sz w:val="24"/>
      <w:szCs w:val="20"/>
      <w:lang w:val="en-GB" w:eastAsia="en-US"/>
    </w:rPr>
  </w:style>
  <w:style w:type="character" w:customStyle="1" w:styleId="41">
    <w:name w:val="DeltaView Insertion"/>
    <w:qFormat/>
    <w:uiPriority w:val="0"/>
    <w:rPr>
      <w:color w:val="0000FF"/>
      <w:u w:val="double"/>
    </w:rPr>
  </w:style>
  <w:style w:type="paragraph" w:styleId="42">
    <w:name w:val="List Paragraph"/>
    <w:basedOn w:val="1"/>
    <w:qFormat/>
    <w:uiPriority w:val="34"/>
    <w:pPr>
      <w:ind w:firstLine="420" w:firstLineChars="200"/>
    </w:pPr>
  </w:style>
  <w:style w:type="character" w:customStyle="1" w:styleId="43">
    <w:name w:val="页脚 字符"/>
    <w:basedOn w:val="29"/>
    <w:link w:val="15"/>
    <w:qFormat/>
    <w:uiPriority w:val="99"/>
    <w:rPr>
      <w:rFonts w:ascii="Times New Roman" w:hAnsi="Times New Roman" w:eastAsia="宋体" w:cs="Times New Roman"/>
      <w:kern w:val="2"/>
      <w:sz w:val="18"/>
      <w:szCs w:val="18"/>
    </w:rPr>
  </w:style>
  <w:style w:type="character" w:customStyle="1" w:styleId="44">
    <w:name w:val="批注文字 字符"/>
    <w:basedOn w:val="29"/>
    <w:link w:val="6"/>
    <w:qFormat/>
    <w:uiPriority w:val="0"/>
    <w:rPr>
      <w:rFonts w:ascii="Times New Roman" w:hAnsi="Times New Roman" w:eastAsia="宋体" w:cs="Times New Roman"/>
      <w:kern w:val="2"/>
      <w:sz w:val="21"/>
      <w:szCs w:val="24"/>
    </w:rPr>
  </w:style>
  <w:style w:type="character" w:customStyle="1" w:styleId="45">
    <w:name w:val="批注主题 字符"/>
    <w:basedOn w:val="44"/>
    <w:link w:val="26"/>
    <w:qFormat/>
    <w:uiPriority w:val="0"/>
    <w:rPr>
      <w:rFonts w:ascii="Times New Roman" w:hAnsi="Times New Roman" w:eastAsia="宋体" w:cs="Times New Roman"/>
      <w:b/>
      <w:bCs/>
      <w:kern w:val="2"/>
      <w:sz w:val="21"/>
      <w:szCs w:val="24"/>
    </w:rPr>
  </w:style>
  <w:style w:type="paragraph" w:customStyle="1" w:styleId="4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47">
    <w:name w:val="目录 11"/>
    <w:basedOn w:val="1"/>
    <w:next w:val="1"/>
    <w:qFormat/>
    <w:uiPriority w:val="39"/>
    <w:pPr>
      <w:tabs>
        <w:tab w:val="left" w:pos="630"/>
        <w:tab w:val="right" w:leader="dot" w:pos="8296"/>
      </w:tabs>
      <w:spacing w:before="120" w:after="120"/>
      <w:jc w:val="left"/>
    </w:pPr>
    <w:rPr>
      <w:rFonts w:eastAsia="Times New Roman"/>
      <w:b/>
      <w:bCs/>
      <w:caps/>
      <w:sz w:val="24"/>
      <w:szCs w:val="20"/>
    </w:rPr>
  </w:style>
  <w:style w:type="character" w:customStyle="1" w:styleId="48">
    <w:name w:val="批注框文本 字符"/>
    <w:basedOn w:val="29"/>
    <w:link w:val="14"/>
    <w:qFormat/>
    <w:uiPriority w:val="0"/>
    <w:rPr>
      <w:rFonts w:ascii="Times New Roman" w:hAnsi="Times New Roman" w:eastAsia="宋体" w:cs="Times New Roman"/>
      <w:kern w:val="2"/>
      <w:sz w:val="18"/>
      <w:szCs w:val="18"/>
    </w:rPr>
  </w:style>
  <w:style w:type="paragraph" w:customStyle="1" w:styleId="49">
    <w:name w:val="修订2"/>
    <w:hidden/>
    <w:qFormat/>
    <w:uiPriority w:val="99"/>
    <w:rPr>
      <w:rFonts w:ascii="Times New Roman" w:hAnsi="Times New Roman" w:eastAsia="宋体" w:cs="Times New Roman"/>
      <w:kern w:val="2"/>
      <w:sz w:val="21"/>
      <w:szCs w:val="24"/>
      <w:lang w:val="en-US" w:eastAsia="zh-CN" w:bidi="ar-SA"/>
    </w:rPr>
  </w:style>
  <w:style w:type="character" w:customStyle="1" w:styleId="50">
    <w:name w:val="脚注文本 字符"/>
    <w:basedOn w:val="29"/>
    <w:link w:val="21"/>
    <w:qFormat/>
    <w:uiPriority w:val="0"/>
    <w:rPr>
      <w:rFonts w:ascii="Calibri" w:hAnsi="Calibri" w:eastAsia="宋体" w:cs="Times New Roman"/>
      <w:kern w:val="2"/>
      <w:sz w:val="18"/>
      <w:szCs w:val="18"/>
    </w:rPr>
  </w:style>
  <w:style w:type="character" w:customStyle="1" w:styleId="51">
    <w:name w:val="标题 2 字符"/>
    <w:basedOn w:val="29"/>
    <w:link w:val="3"/>
    <w:qFormat/>
    <w:uiPriority w:val="0"/>
    <w:rPr>
      <w:rFonts w:ascii="Arial" w:hAnsi="Arial" w:eastAsia="黑体" w:cs="Times New Roman"/>
      <w:b/>
      <w:bCs/>
      <w:sz w:val="32"/>
      <w:szCs w:val="32"/>
    </w:rPr>
  </w:style>
  <w:style w:type="character" w:customStyle="1" w:styleId="52">
    <w:name w:val="文档结构图 字符"/>
    <w:basedOn w:val="29"/>
    <w:link w:val="5"/>
    <w:qFormat/>
    <w:uiPriority w:val="0"/>
    <w:rPr>
      <w:rFonts w:ascii="Times New Roman" w:hAnsi="Times New Roman" w:eastAsia="宋体" w:cs="Times New Roman"/>
      <w:shd w:val="clear" w:color="auto" w:fill="000080"/>
    </w:rPr>
  </w:style>
  <w:style w:type="character" w:customStyle="1" w:styleId="53">
    <w:name w:val="正文文本 字符"/>
    <w:basedOn w:val="29"/>
    <w:link w:val="8"/>
    <w:qFormat/>
    <w:uiPriority w:val="0"/>
    <w:rPr>
      <w:rFonts w:ascii="Times New Roman" w:hAnsi="Times New Roman" w:eastAsia="宋体" w:cs="Times New Roman"/>
    </w:rPr>
  </w:style>
  <w:style w:type="character" w:customStyle="1" w:styleId="54">
    <w:name w:val="正文文本缩进 2 字符"/>
    <w:basedOn w:val="29"/>
    <w:link w:val="13"/>
    <w:qFormat/>
    <w:uiPriority w:val="0"/>
    <w:rPr>
      <w:rFonts w:ascii="Times New Roman" w:hAnsi="Times New Roman" w:eastAsia="楷体_GB2312" w:cs="Times New Roman"/>
      <w:sz w:val="24"/>
    </w:rPr>
  </w:style>
  <w:style w:type="character" w:customStyle="1" w:styleId="55">
    <w:name w:val="正文文本缩进 3 字符"/>
    <w:basedOn w:val="29"/>
    <w:link w:val="23"/>
    <w:qFormat/>
    <w:uiPriority w:val="0"/>
    <w:rPr>
      <w:rFonts w:ascii="Times New Roman" w:hAnsi="Times New Roman" w:eastAsia="宋体" w:cs="Times New Roman"/>
      <w:sz w:val="16"/>
      <w:szCs w:val="16"/>
    </w:rPr>
  </w:style>
  <w:style w:type="paragraph" w:customStyle="1" w:styleId="56">
    <w:name w:val="2"/>
    <w:basedOn w:val="1"/>
    <w:next w:val="9"/>
    <w:qFormat/>
    <w:uiPriority w:val="0"/>
    <w:pPr>
      <w:spacing w:after="120"/>
      <w:ind w:left="420" w:leftChars="200"/>
    </w:pPr>
    <w:rPr>
      <w:kern w:val="0"/>
      <w:sz w:val="20"/>
      <w:szCs w:val="20"/>
    </w:rPr>
  </w:style>
  <w:style w:type="paragraph" w:customStyle="1" w:styleId="57">
    <w:name w:val="FWB_L1"/>
    <w:basedOn w:val="1"/>
    <w:next w:val="58"/>
    <w:qFormat/>
    <w:uiPriority w:val="0"/>
    <w:pPr>
      <w:keepNext/>
      <w:keepLines/>
      <w:widowControl/>
      <w:numPr>
        <w:ilvl w:val="0"/>
        <w:numId w:val="1"/>
      </w:numPr>
      <w:tabs>
        <w:tab w:val="clear" w:pos="360"/>
      </w:tabs>
      <w:spacing w:after="240"/>
      <w:jc w:val="left"/>
      <w:outlineLvl w:val="0"/>
    </w:pPr>
    <w:rPr>
      <w:b/>
      <w:smallCaps/>
      <w:kern w:val="0"/>
      <w:sz w:val="24"/>
      <w:szCs w:val="20"/>
      <w:lang w:val="en-GB" w:eastAsia="en-US"/>
    </w:rPr>
  </w:style>
  <w:style w:type="paragraph" w:customStyle="1" w:styleId="58">
    <w:name w:val="FWB_L2"/>
    <w:basedOn w:val="57"/>
    <w:qFormat/>
    <w:uiPriority w:val="0"/>
    <w:pPr>
      <w:keepNext w:val="0"/>
      <w:keepLines w:val="0"/>
      <w:numPr>
        <w:ilvl w:val="1"/>
      </w:numPr>
      <w:jc w:val="both"/>
      <w:outlineLvl w:val="9"/>
    </w:pPr>
    <w:rPr>
      <w:b w:val="0"/>
      <w:smallCaps w:val="0"/>
    </w:rPr>
  </w:style>
  <w:style w:type="paragraph" w:customStyle="1" w:styleId="59">
    <w:name w:val="FWB_L3"/>
    <w:basedOn w:val="58"/>
    <w:qFormat/>
    <w:uiPriority w:val="0"/>
    <w:pPr>
      <w:numPr>
        <w:ilvl w:val="0"/>
        <w:numId w:val="0"/>
      </w:numPr>
    </w:pPr>
  </w:style>
  <w:style w:type="paragraph" w:customStyle="1" w:styleId="60">
    <w:name w:val="FWB_L4"/>
    <w:basedOn w:val="59"/>
    <w:qFormat/>
    <w:uiPriority w:val="0"/>
    <w:pPr>
      <w:numPr>
        <w:ilvl w:val="3"/>
        <w:numId w:val="1"/>
      </w:numPr>
      <w:tabs>
        <w:tab w:val="clear" w:pos="1440"/>
      </w:tabs>
      <w:ind w:left="0" w:firstLine="0"/>
    </w:pPr>
  </w:style>
  <w:style w:type="paragraph" w:customStyle="1" w:styleId="61">
    <w:name w:val="FWB_L5"/>
    <w:basedOn w:val="60"/>
    <w:qFormat/>
    <w:uiPriority w:val="0"/>
    <w:pPr>
      <w:numPr>
        <w:ilvl w:val="4"/>
      </w:numPr>
      <w:ind w:left="0" w:firstLine="0"/>
    </w:pPr>
  </w:style>
  <w:style w:type="paragraph" w:customStyle="1" w:styleId="62">
    <w:name w:val="FWB_L6"/>
    <w:basedOn w:val="61"/>
    <w:qFormat/>
    <w:uiPriority w:val="0"/>
    <w:pPr>
      <w:numPr>
        <w:ilvl w:val="5"/>
      </w:numPr>
      <w:ind w:left="0" w:firstLine="0"/>
    </w:pPr>
  </w:style>
  <w:style w:type="paragraph" w:customStyle="1" w:styleId="63">
    <w:name w:val="FWB_L7"/>
    <w:basedOn w:val="62"/>
    <w:qFormat/>
    <w:uiPriority w:val="0"/>
    <w:pPr>
      <w:numPr>
        <w:ilvl w:val="6"/>
      </w:numPr>
      <w:ind w:left="0" w:firstLine="0"/>
    </w:pPr>
  </w:style>
  <w:style w:type="paragraph" w:customStyle="1" w:styleId="64">
    <w:name w:val="FWB_L8"/>
    <w:basedOn w:val="63"/>
    <w:qFormat/>
    <w:uiPriority w:val="0"/>
    <w:pPr>
      <w:numPr>
        <w:ilvl w:val="7"/>
      </w:numPr>
      <w:ind w:left="0" w:firstLine="0"/>
    </w:pPr>
  </w:style>
  <w:style w:type="paragraph" w:customStyle="1" w:styleId="65">
    <w:name w:val="3"/>
    <w:basedOn w:val="1"/>
    <w:next w:val="9"/>
    <w:qFormat/>
    <w:uiPriority w:val="0"/>
    <w:pPr>
      <w:spacing w:line="360" w:lineRule="auto"/>
      <w:ind w:firstLine="560" w:firstLineChars="200"/>
    </w:pPr>
    <w:rPr>
      <w:rFonts w:ascii="仿宋_GB2312" w:eastAsia="仿宋_GB2312"/>
      <w:kern w:val="0"/>
      <w:sz w:val="28"/>
      <w:szCs w:val="20"/>
    </w:rPr>
  </w:style>
  <w:style w:type="paragraph" w:customStyle="1" w:styleId="66">
    <w:name w:val="(a)"/>
    <w:basedOn w:val="8"/>
    <w:qFormat/>
    <w:uiPriority w:val="0"/>
    <w:pPr>
      <w:widowControl/>
      <w:spacing w:after="240"/>
      <w:ind w:left="720" w:hanging="720"/>
    </w:pPr>
    <w:rPr>
      <w:bCs/>
      <w:sz w:val="24"/>
      <w:lang w:val="en-GB" w:eastAsia="en-US"/>
    </w:rPr>
  </w:style>
  <w:style w:type="paragraph" w:customStyle="1" w:styleId="67">
    <w:name w:val="FWB Cont 2"/>
    <w:basedOn w:val="1"/>
    <w:qFormat/>
    <w:uiPriority w:val="0"/>
    <w:pPr>
      <w:widowControl/>
      <w:spacing w:after="240"/>
    </w:pPr>
    <w:rPr>
      <w:kern w:val="0"/>
      <w:sz w:val="24"/>
      <w:szCs w:val="20"/>
      <w:lang w:val="en-GB" w:eastAsia="en-US"/>
    </w:rPr>
  </w:style>
  <w:style w:type="paragraph" w:customStyle="1" w:styleId="68">
    <w:name w:val="FWB Cont 4"/>
    <w:basedOn w:val="40"/>
    <w:qFormat/>
    <w:uiPriority w:val="0"/>
    <w:pPr>
      <w:ind w:left="1440"/>
    </w:pPr>
  </w:style>
  <w:style w:type="character" w:customStyle="1" w:styleId="69">
    <w:name w:val="已访问的超链接1"/>
    <w:qFormat/>
    <w:uiPriority w:val="0"/>
    <w:rPr>
      <w:color w:val="800080"/>
      <w:u w:val="single"/>
    </w:rPr>
  </w:style>
  <w:style w:type="paragraph" w:customStyle="1" w:styleId="70">
    <w:name w:val="FWS_L1"/>
    <w:basedOn w:val="1"/>
    <w:next w:val="71"/>
    <w:qFormat/>
    <w:uiPriority w:val="0"/>
    <w:pPr>
      <w:keepNext/>
      <w:keepLines/>
      <w:pageBreakBefore/>
      <w:widowControl/>
      <w:numPr>
        <w:ilvl w:val="0"/>
        <w:numId w:val="2"/>
      </w:numPr>
      <w:spacing w:after="240" w:line="480" w:lineRule="auto"/>
      <w:jc w:val="center"/>
      <w:outlineLvl w:val="0"/>
    </w:pPr>
    <w:rPr>
      <w:b/>
      <w:caps/>
      <w:kern w:val="0"/>
      <w:sz w:val="24"/>
      <w:szCs w:val="20"/>
      <w:lang w:val="en-GB" w:eastAsia="en-US"/>
    </w:rPr>
  </w:style>
  <w:style w:type="paragraph" w:customStyle="1" w:styleId="71">
    <w:name w:val="FWS_L2"/>
    <w:basedOn w:val="70"/>
    <w:next w:val="72"/>
    <w:qFormat/>
    <w:uiPriority w:val="0"/>
    <w:pPr>
      <w:pageBreakBefore w:val="0"/>
      <w:numPr>
        <w:ilvl w:val="1"/>
      </w:numPr>
      <w:spacing w:line="240" w:lineRule="auto"/>
      <w:outlineLvl w:val="1"/>
    </w:pPr>
    <w:rPr>
      <w:caps w:val="0"/>
    </w:rPr>
  </w:style>
  <w:style w:type="paragraph" w:customStyle="1" w:styleId="72">
    <w:name w:val="FWS_L3"/>
    <w:basedOn w:val="71"/>
    <w:next w:val="73"/>
    <w:qFormat/>
    <w:uiPriority w:val="0"/>
    <w:pPr>
      <w:numPr>
        <w:ilvl w:val="2"/>
      </w:numPr>
      <w:jc w:val="left"/>
      <w:outlineLvl w:val="2"/>
    </w:pPr>
    <w:rPr>
      <w:smallCaps/>
    </w:rPr>
  </w:style>
  <w:style w:type="paragraph" w:customStyle="1" w:styleId="73">
    <w:name w:val="FWS_L5"/>
    <w:basedOn w:val="74"/>
    <w:qFormat/>
    <w:uiPriority w:val="0"/>
    <w:pPr>
      <w:numPr>
        <w:ilvl w:val="3"/>
      </w:numPr>
    </w:pPr>
  </w:style>
  <w:style w:type="paragraph" w:customStyle="1" w:styleId="74">
    <w:name w:val="FWS_L4"/>
    <w:basedOn w:val="72"/>
    <w:qFormat/>
    <w:uiPriority w:val="0"/>
    <w:pPr>
      <w:keepNext w:val="0"/>
      <w:keepLines w:val="0"/>
      <w:numPr>
        <w:ilvl w:val="4"/>
      </w:numPr>
      <w:jc w:val="both"/>
      <w:outlineLvl w:val="9"/>
    </w:pPr>
    <w:rPr>
      <w:b w:val="0"/>
      <w:smallCaps w:val="0"/>
    </w:rPr>
  </w:style>
  <w:style w:type="paragraph" w:customStyle="1" w:styleId="75">
    <w:name w:val="FWS_L6"/>
    <w:basedOn w:val="73"/>
    <w:qFormat/>
    <w:uiPriority w:val="0"/>
    <w:pPr>
      <w:numPr>
        <w:ilvl w:val="5"/>
      </w:numPr>
      <w:ind w:left="0" w:firstLine="0"/>
    </w:pPr>
  </w:style>
  <w:style w:type="paragraph" w:customStyle="1" w:styleId="76">
    <w:name w:val="FWS_L7"/>
    <w:basedOn w:val="75"/>
    <w:qFormat/>
    <w:uiPriority w:val="0"/>
    <w:pPr>
      <w:numPr>
        <w:ilvl w:val="6"/>
      </w:numPr>
      <w:ind w:left="0" w:firstLine="0"/>
    </w:pPr>
  </w:style>
  <w:style w:type="paragraph" w:customStyle="1" w:styleId="77">
    <w:name w:val="FWS_L8"/>
    <w:basedOn w:val="76"/>
    <w:qFormat/>
    <w:uiPriority w:val="0"/>
    <w:pPr>
      <w:numPr>
        <w:ilvl w:val="7"/>
      </w:numPr>
      <w:ind w:left="0" w:firstLine="0"/>
    </w:pPr>
  </w:style>
  <w:style w:type="paragraph" w:customStyle="1" w:styleId="78">
    <w:name w:val="FWS_L9"/>
    <w:basedOn w:val="77"/>
    <w:qFormat/>
    <w:uiPriority w:val="0"/>
    <w:pPr>
      <w:numPr>
        <w:ilvl w:val="8"/>
      </w:numPr>
      <w:ind w:left="0" w:firstLine="0"/>
    </w:pPr>
  </w:style>
  <w:style w:type="paragraph" w:customStyle="1" w:styleId="79">
    <w:name w:val="Normal (Justified)"/>
    <w:basedOn w:val="1"/>
    <w:link w:val="99"/>
    <w:qFormat/>
    <w:uiPriority w:val="0"/>
    <w:pPr>
      <w:widowControl/>
    </w:pPr>
    <w:rPr>
      <w:snapToGrid w:val="0"/>
      <w:kern w:val="28"/>
      <w:sz w:val="24"/>
      <w:szCs w:val="20"/>
    </w:rPr>
  </w:style>
  <w:style w:type="paragraph" w:customStyle="1" w:styleId="80">
    <w:name w:val="Char Char Char Char Char Char Char Char Char Char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1">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82">
    <w:name w:val="DeltaView Deletion"/>
    <w:qFormat/>
    <w:uiPriority w:val="0"/>
    <w:rPr>
      <w:strike/>
      <w:color w:val="FF0000"/>
      <w:spacing w:val="0"/>
    </w:rPr>
  </w:style>
  <w:style w:type="paragraph" w:customStyle="1" w:styleId="83">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4">
    <w:name w:val="Char Char Char Char 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5">
    <w:name w:val="Char Char Char Char 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6">
    <w:name w:val="彩色列表 - 强调文字颜色 11"/>
    <w:basedOn w:val="1"/>
    <w:qFormat/>
    <w:uiPriority w:val="34"/>
    <w:pPr>
      <w:ind w:firstLine="420" w:firstLineChars="200"/>
    </w:pPr>
    <w:rPr>
      <w:kern w:val="0"/>
      <w:sz w:val="20"/>
      <w:szCs w:val="20"/>
    </w:rPr>
  </w:style>
  <w:style w:type="paragraph" w:customStyle="1" w:styleId="87">
    <w:name w:val="中等深浅列表 2 - 强调文字颜色 21"/>
    <w:hidden/>
    <w:semiHidden/>
    <w:qFormat/>
    <w:uiPriority w:val="99"/>
    <w:rPr>
      <w:rFonts w:ascii="Times New Roman" w:hAnsi="Times New Roman" w:eastAsia="宋体" w:cs="Times New Roman"/>
      <w:kern w:val="2"/>
      <w:sz w:val="21"/>
      <w:szCs w:val="24"/>
      <w:lang w:val="en-US" w:eastAsia="zh-CN" w:bidi="ar-SA"/>
    </w:rPr>
  </w:style>
  <w:style w:type="paragraph" w:customStyle="1" w:styleId="88">
    <w:name w:val="中等深浅网格 1 - 强调文字颜色 21"/>
    <w:basedOn w:val="1"/>
    <w:qFormat/>
    <w:uiPriority w:val="0"/>
    <w:pPr>
      <w:ind w:firstLine="420" w:firstLineChars="200"/>
    </w:pPr>
    <w:rPr>
      <w:kern w:val="0"/>
      <w:sz w:val="20"/>
      <w:szCs w:val="20"/>
    </w:rPr>
  </w:style>
  <w:style w:type="paragraph" w:customStyle="1" w:styleId="89">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paragraph" w:customStyle="1" w:styleId="90">
    <w:name w:val="Char Char 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1">
    <w:name w:val="彩色底纹 - 强调文字颜色 12"/>
    <w:hidden/>
    <w:semiHidden/>
    <w:qFormat/>
    <w:uiPriority w:val="99"/>
    <w:rPr>
      <w:rFonts w:ascii="Times New Roman" w:hAnsi="Times New Roman" w:eastAsia="宋体" w:cs="Times New Roman"/>
      <w:kern w:val="2"/>
      <w:sz w:val="21"/>
      <w:szCs w:val="24"/>
      <w:lang w:val="en-US" w:eastAsia="zh-CN" w:bidi="ar-SA"/>
    </w:rPr>
  </w:style>
  <w:style w:type="paragraph" w:customStyle="1" w:styleId="92">
    <w:name w:val="彩色列表 - 强调文字颜色 12"/>
    <w:basedOn w:val="1"/>
    <w:qFormat/>
    <w:uiPriority w:val="34"/>
    <w:pPr>
      <w:ind w:firstLine="420" w:firstLineChars="200"/>
    </w:pPr>
    <w:rPr>
      <w:kern w:val="0"/>
      <w:sz w:val="20"/>
      <w:szCs w:val="20"/>
    </w:rPr>
  </w:style>
  <w:style w:type="paragraph" w:customStyle="1" w:styleId="93">
    <w:name w:val="Char Char Char Char Char Char Char Char Char Char"/>
    <w:basedOn w:val="1"/>
    <w:qFormat/>
    <w:uiPriority w:val="0"/>
    <w:pPr>
      <w:widowControl/>
      <w:spacing w:after="160" w:line="240" w:lineRule="exact"/>
      <w:jc w:val="left"/>
    </w:pPr>
    <w:rPr>
      <w:kern w:val="0"/>
      <w:sz w:val="20"/>
      <w:szCs w:val="20"/>
    </w:rPr>
  </w:style>
  <w:style w:type="paragraph" w:customStyle="1" w:styleId="94">
    <w:name w:val="浅色网格 - 强调文字颜色 31"/>
    <w:basedOn w:val="1"/>
    <w:qFormat/>
    <w:uiPriority w:val="34"/>
    <w:pPr>
      <w:widowControl/>
      <w:ind w:firstLine="420" w:firstLineChars="200"/>
      <w:jc w:val="left"/>
    </w:pPr>
    <w:rPr>
      <w:rFonts w:eastAsia="PMingLiU"/>
      <w:kern w:val="0"/>
      <w:sz w:val="24"/>
      <w:szCs w:val="20"/>
      <w:lang w:eastAsia="zh-TW"/>
    </w:rPr>
  </w:style>
  <w:style w:type="character" w:customStyle="1" w:styleId="95">
    <w:name w:val="已访问的超链接2"/>
    <w:qFormat/>
    <w:uiPriority w:val="0"/>
    <w:rPr>
      <w:color w:val="800080"/>
      <w:u w:val="single"/>
    </w:rPr>
  </w:style>
  <w:style w:type="paragraph" w:customStyle="1" w:styleId="96">
    <w:name w:val="修订21"/>
    <w:hidden/>
    <w:semiHidden/>
    <w:qFormat/>
    <w:uiPriority w:val="99"/>
    <w:rPr>
      <w:rFonts w:ascii="Times New Roman" w:hAnsi="Times New Roman" w:eastAsia="宋体" w:cs="Times New Roman"/>
      <w:kern w:val="2"/>
      <w:sz w:val="21"/>
      <w:szCs w:val="24"/>
      <w:lang w:val="en-US" w:eastAsia="zh-CN" w:bidi="ar-SA"/>
    </w:rPr>
  </w:style>
  <w:style w:type="character" w:customStyle="1" w:styleId="97">
    <w:name w:val="未处理的提及1"/>
    <w:basedOn w:val="29"/>
    <w:semiHidden/>
    <w:unhideWhenUsed/>
    <w:qFormat/>
    <w:uiPriority w:val="99"/>
    <w:rPr>
      <w:color w:val="605E5C"/>
      <w:shd w:val="clear" w:color="auto" w:fill="E1DFDD"/>
    </w:rPr>
  </w:style>
  <w:style w:type="paragraph" w:customStyle="1" w:styleId="9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99">
    <w:name w:val="Normal (Justified)[858D7CFB-ED40-4347-BF05-701D383B685F]"/>
    <w:link w:val="79"/>
    <w:qFormat/>
    <w:uiPriority w:val="0"/>
    <w:rPr>
      <w:rFonts w:ascii="Times New Roman" w:hAnsi="Times New Roman" w:eastAsia="宋体" w:cs="Times New Roman"/>
      <w:snapToGrid w:val="0"/>
      <w:kern w:val="28"/>
      <w:sz w:val="24"/>
    </w:rPr>
  </w:style>
  <w:style w:type="paragraph" w:customStyle="1" w:styleId="100">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101">
    <w:name w:val="修订4"/>
    <w:hidden/>
    <w:unhideWhenUsed/>
    <w:uiPriority w:val="99"/>
    <w:rPr>
      <w:rFonts w:ascii="Times New Roman" w:hAnsi="Times New Roman" w:eastAsia="宋体" w:cs="Times New Roman"/>
      <w:kern w:val="2"/>
      <w:sz w:val="21"/>
      <w:szCs w:val="24"/>
      <w:lang w:val="en-US" w:eastAsia="zh-CN" w:bidi="ar-SA"/>
    </w:rPr>
  </w:style>
  <w:style w:type="paragraph" w:customStyle="1" w:styleId="10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3C517CDA-3D03-4318-9C58-7A69828DBE57}">
  <ds:schemaRefs/>
</ds:datastoreItem>
</file>

<file path=docProps/app.xml><?xml version="1.0" encoding="utf-8"?>
<Properties xmlns="http://schemas.openxmlformats.org/officeDocument/2006/extended-properties" xmlns:vt="http://schemas.openxmlformats.org/officeDocument/2006/docPropsVTypes">
  <Template>Normal</Template>
  <Pages>127</Pages>
  <Words>33134</Words>
  <Characters>33786</Characters>
  <Lines>539</Lines>
  <Paragraphs>152</Paragraphs>
  <TotalTime>304</TotalTime>
  <ScaleCrop>false</ScaleCrop>
  <LinksUpToDate>false</LinksUpToDate>
  <CharactersWithSpaces>33902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2026-02-09T02:46:00Z</dcterms:created>
  <dc:creator>赵澍</dc:creator>
  <cp:lastModifiedBy>赵澍</cp:lastModifiedBy>
  <cp:lastPrinted>2026-01-24T06:17:00Z</cp:lastPrinted>
  <dcterms:modified xsi:type="dcterms:W3CDTF">2026-05-06T05:36:42Z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5E4D54A1B0F44892A9F2D20B43F38C9D_13</vt:lpwstr>
  </property>
  <property fmtid="{D5CDD505-2E9C-101B-9397-08002B2CF9AE}" pid="4" name="KSOTemplateDocerSaveRecord">
    <vt:lpwstr>eyJoZGlkIjoiOTc3M2Y5NzIzMDFlZjAyY2Q4Njk5ODkyYjFjNzBiNTQiLCJ1c2VySWQiOiI1MDczOTAyNjIifQ==</vt:lpwstr>
  </property>
</Properties>
</file>